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CDB6" w14:textId="0CC0E37E" w:rsidR="00BA69CC" w:rsidRDefault="000F37DE">
      <w:pPr>
        <w:pStyle w:val="am"/>
        <w:spacing w:before="0" w:beforeAutospacing="0" w:after="0" w:afterAutospacing="0"/>
        <w:rPr>
          <w:rStyle w:val="ak"/>
          <w:rFonts w:asciiTheme="minorHAnsi" w:eastAsia="Arial Unicode MS" w:hAnsiTheme="minorHAnsi" w:cstheme="minorHAnsi"/>
          <w:color w:val="000000"/>
          <w:szCs w:val="22"/>
        </w:rPr>
      </w:pPr>
      <w:bookmarkStart w:id="0" w:name="_GoBack"/>
      <w:bookmarkEnd w:id="0"/>
      <w:r>
        <w:rPr>
          <w:rStyle w:val="ak"/>
          <w:rFonts w:asciiTheme="minorHAnsi" w:eastAsia="Arial Unicode MS" w:hAnsiTheme="minorHAnsi" w:cstheme="minorHAnsi"/>
          <w:color w:val="000000"/>
          <w:szCs w:val="22"/>
        </w:rPr>
        <w:t>10 November 2023</w:t>
      </w:r>
    </w:p>
    <w:p w14:paraId="0C5481F5" w14:textId="77777777" w:rsidR="00BA69CC" w:rsidRDefault="00374617">
      <w:pPr>
        <w:pStyle w:val="am"/>
        <w:spacing w:before="0" w:beforeAutospacing="0" w:after="0" w:afterAutospacing="0"/>
        <w:jc w:val="center"/>
        <w:rPr>
          <w:rFonts w:asciiTheme="minorHAnsi" w:eastAsia="Arial Unicode MS" w:hAnsiTheme="minorHAnsi" w:cstheme="minorHAnsi"/>
          <w:b/>
          <w:bCs/>
          <w:color w:val="000000"/>
          <w:szCs w:val="22"/>
        </w:rPr>
      </w:pPr>
      <w:r>
        <w:rPr>
          <w:rStyle w:val="ak"/>
          <w:rFonts w:asciiTheme="minorHAnsi" w:eastAsia="Arial Unicode MS" w:hAnsiTheme="minorHAnsi" w:cstheme="minorHAnsi"/>
          <w:b/>
          <w:bCs/>
          <w:color w:val="000000"/>
          <w:szCs w:val="22"/>
        </w:rPr>
        <w:t>BLACK SEA PROPERTY PLC</w:t>
      </w:r>
    </w:p>
    <w:p w14:paraId="210A4862" w14:textId="77777777" w:rsidR="00BA69CC" w:rsidRDefault="00374617">
      <w:pPr>
        <w:pStyle w:val="an"/>
        <w:spacing w:before="0" w:beforeAutospacing="0" w:after="0" w:afterAutospacing="0"/>
        <w:jc w:val="center"/>
        <w:rPr>
          <w:rFonts w:asciiTheme="minorHAnsi" w:eastAsia="Arial Unicode MS" w:hAnsiTheme="minorHAnsi" w:cstheme="minorHAnsi"/>
          <w:color w:val="000000"/>
          <w:szCs w:val="22"/>
        </w:rPr>
      </w:pPr>
      <w:r>
        <w:rPr>
          <w:rStyle w:val="ah"/>
          <w:rFonts w:asciiTheme="minorHAnsi" w:eastAsia="Arial Unicode MS" w:hAnsiTheme="minorHAnsi" w:cstheme="minorHAnsi"/>
          <w:color w:val="000000"/>
          <w:szCs w:val="22"/>
        </w:rPr>
        <w:t>("Black Sea Property" or the "Company")</w:t>
      </w:r>
    </w:p>
    <w:p w14:paraId="228789CE" w14:textId="77777777" w:rsidR="00BA69CC" w:rsidRDefault="00BA69CC">
      <w:pPr>
        <w:spacing w:after="0" w:line="240" w:lineRule="auto"/>
        <w:rPr>
          <w:rFonts w:cstheme="minorHAnsi"/>
        </w:rPr>
      </w:pPr>
    </w:p>
    <w:p w14:paraId="44BE7223" w14:textId="77777777" w:rsidR="00BA69CC" w:rsidRDefault="00374617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Acquisition of </w:t>
      </w:r>
      <w:r>
        <w:rPr>
          <w:rFonts w:cstheme="minorHAnsi"/>
          <w:b/>
          <w:sz w:val="24"/>
          <w:lang w:val="bg-BG"/>
        </w:rPr>
        <w:t xml:space="preserve">land plots next to </w:t>
      </w:r>
      <w:r>
        <w:rPr>
          <w:rFonts w:cstheme="minorHAnsi"/>
          <w:b/>
          <w:sz w:val="24"/>
        </w:rPr>
        <w:t>Camp South Beach</w:t>
      </w:r>
    </w:p>
    <w:p w14:paraId="592D7B6F" w14:textId="77777777" w:rsidR="00BA69CC" w:rsidRDefault="00BA69CC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40E53F8B" w14:textId="77777777" w:rsidR="00BA69CC" w:rsidRDefault="00BA69CC">
      <w:pPr>
        <w:spacing w:after="0" w:line="240" w:lineRule="auto"/>
        <w:rPr>
          <w:rFonts w:cstheme="minorHAnsi"/>
        </w:rPr>
      </w:pPr>
    </w:p>
    <w:p w14:paraId="2BC7F51D" w14:textId="621D59BF" w:rsidR="00BA69CC" w:rsidRDefault="00374617">
      <w:pPr>
        <w:pStyle w:val="BodyText1"/>
        <w:spacing w:after="0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Black Sea Property PLC, the Bulgarian real estate investment company, is pleased to announce that its</w:t>
      </w:r>
      <w:r w:rsidR="00864B9F">
        <w:rPr>
          <w:rFonts w:asciiTheme="minorHAnsi" w:eastAsiaTheme="minorHAnsi" w:hAnsiTheme="minorHAnsi" w:cstheme="minorHAnsi"/>
          <w:szCs w:val="22"/>
        </w:rPr>
        <w:t xml:space="preserve"> s</w:t>
      </w:r>
      <w:r>
        <w:rPr>
          <w:rFonts w:asciiTheme="minorHAnsi" w:eastAsiaTheme="minorHAnsi" w:hAnsiTheme="minorHAnsi" w:cstheme="minorHAnsi"/>
          <w:szCs w:val="22"/>
        </w:rPr>
        <w:t xml:space="preserve">ubsidiary, Camp South Beach EOOD, has acquired two </w:t>
      </w:r>
      <w:r w:rsidR="00C168E6">
        <w:rPr>
          <w:rFonts w:asciiTheme="minorHAnsi" w:eastAsiaTheme="minorHAnsi" w:hAnsiTheme="minorHAnsi" w:cstheme="minorHAnsi"/>
          <w:szCs w:val="22"/>
        </w:rPr>
        <w:t>plots of land</w:t>
      </w:r>
      <w:r>
        <w:rPr>
          <w:rFonts w:asciiTheme="minorHAnsi" w:eastAsiaTheme="minorHAnsi" w:hAnsiTheme="minorHAnsi" w:cstheme="minorHAnsi"/>
          <w:szCs w:val="22"/>
        </w:rPr>
        <w:t xml:space="preserve"> adjacent to its camping site on the  Bulgarian Black Sea coast. The total area of the two </w:t>
      </w:r>
      <w:r w:rsidR="00C168E6">
        <w:rPr>
          <w:rFonts w:asciiTheme="minorHAnsi" w:eastAsiaTheme="minorHAnsi" w:hAnsiTheme="minorHAnsi" w:cstheme="minorHAnsi"/>
          <w:szCs w:val="22"/>
        </w:rPr>
        <w:t>plots</w:t>
      </w:r>
      <w:r>
        <w:rPr>
          <w:rFonts w:asciiTheme="minorHAnsi" w:eastAsiaTheme="minorHAnsi" w:hAnsiTheme="minorHAnsi" w:cstheme="minorHAnsi"/>
          <w:szCs w:val="22"/>
        </w:rPr>
        <w:t xml:space="preserve"> is circa 19,450 square metres. </w:t>
      </w:r>
    </w:p>
    <w:p w14:paraId="31131A93" w14:textId="77777777" w:rsidR="00BA69CC" w:rsidRDefault="00BA69CC">
      <w:pPr>
        <w:pStyle w:val="BodyText1"/>
        <w:spacing w:after="0"/>
        <w:rPr>
          <w:rFonts w:asciiTheme="minorHAnsi" w:eastAsiaTheme="minorHAnsi" w:hAnsiTheme="minorHAnsi" w:cstheme="minorHAnsi"/>
          <w:szCs w:val="22"/>
        </w:rPr>
      </w:pPr>
    </w:p>
    <w:p w14:paraId="44EF465B" w14:textId="344BEB67" w:rsidR="00BA69CC" w:rsidRDefault="00374617">
      <w:pPr>
        <w:pStyle w:val="BodyText1"/>
        <w:spacing w:after="0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The land will be used for the further expansion of the business activities of Camp South Beach EOOD, whose site is increasingly becoming popular as a 'glamping' site for both Bulgarian and international tourists.</w:t>
      </w:r>
    </w:p>
    <w:p w14:paraId="2A6AD971" w14:textId="77777777" w:rsidR="00BA69CC" w:rsidRDefault="00BA69CC">
      <w:pPr>
        <w:pStyle w:val="BodyText1"/>
        <w:spacing w:after="0"/>
        <w:rPr>
          <w:rFonts w:asciiTheme="minorHAnsi" w:eastAsiaTheme="minorHAnsi" w:hAnsiTheme="minorHAnsi" w:cstheme="minorHAnsi"/>
          <w:szCs w:val="22"/>
        </w:rPr>
      </w:pPr>
    </w:p>
    <w:p w14:paraId="6024895C" w14:textId="0434DCDA" w:rsidR="00BA69CC" w:rsidRDefault="00374617">
      <w:pPr>
        <w:pStyle w:val="BodyText1"/>
        <w:spacing w:after="0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 xml:space="preserve">The consideration for the two </w:t>
      </w:r>
      <w:r w:rsidR="00C168E6">
        <w:rPr>
          <w:rFonts w:asciiTheme="minorHAnsi" w:eastAsiaTheme="minorHAnsi" w:hAnsiTheme="minorHAnsi" w:cstheme="minorHAnsi"/>
          <w:szCs w:val="22"/>
        </w:rPr>
        <w:t xml:space="preserve">plots </w:t>
      </w:r>
      <w:r>
        <w:rPr>
          <w:rFonts w:asciiTheme="minorHAnsi" w:eastAsiaTheme="minorHAnsi" w:hAnsiTheme="minorHAnsi" w:cstheme="minorHAnsi"/>
          <w:szCs w:val="22"/>
        </w:rPr>
        <w:t xml:space="preserve">was EUR 4,836,600 which has been satisfied in cash from the Company’s existing resources. </w:t>
      </w:r>
    </w:p>
    <w:p w14:paraId="74B668EF" w14:textId="77777777" w:rsidR="00BA69CC" w:rsidRDefault="00BA69CC">
      <w:pPr>
        <w:pStyle w:val="BodyText1"/>
        <w:spacing w:after="0"/>
        <w:rPr>
          <w:rFonts w:asciiTheme="minorHAnsi" w:eastAsiaTheme="minorHAnsi" w:hAnsiTheme="minorHAnsi" w:cstheme="minorHAnsi"/>
          <w:szCs w:val="22"/>
        </w:rPr>
      </w:pPr>
    </w:p>
    <w:p w14:paraId="14E482DA" w14:textId="7407013B" w:rsidR="00BA69CC" w:rsidRDefault="0037461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Simon Hudd, Chairman of Black Sea Property, stated, “We are very pleased to have made these acquisitions which are </w:t>
      </w:r>
      <w:r w:rsidR="00793A3E">
        <w:rPr>
          <w:rFonts w:cstheme="minorHAnsi"/>
        </w:rPr>
        <w:t>complementary</w:t>
      </w:r>
      <w:r>
        <w:rPr>
          <w:rFonts w:cstheme="minorHAnsi"/>
        </w:rPr>
        <w:t xml:space="preserve"> to our existing assets at the Camping South Beach site. The Company has made a number of investments at the location in recent years and these new properties will enable us to further enhance our offering in the region."</w:t>
      </w:r>
    </w:p>
    <w:p w14:paraId="1D7C9993" w14:textId="77777777" w:rsidR="00BA69CC" w:rsidRDefault="00BA69CC">
      <w:pPr>
        <w:spacing w:after="0"/>
        <w:jc w:val="both"/>
        <w:rPr>
          <w:rFonts w:cstheme="minorHAnsi"/>
        </w:rPr>
      </w:pPr>
    </w:p>
    <w:p w14:paraId="501C4E9B" w14:textId="77777777" w:rsidR="00BA69CC" w:rsidRDefault="00374617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The Directors of the issuer accept responsibility for the contents of this announcement.</w:t>
      </w:r>
    </w:p>
    <w:p w14:paraId="69005E9B" w14:textId="77777777" w:rsidR="00BA69CC" w:rsidRDefault="00BA69CC">
      <w:pPr>
        <w:spacing w:after="0" w:line="240" w:lineRule="auto"/>
        <w:rPr>
          <w:rFonts w:cstheme="minorHAnsi"/>
        </w:rPr>
      </w:pPr>
    </w:p>
    <w:p w14:paraId="4E3A5964" w14:textId="77777777" w:rsidR="00BA69CC" w:rsidRDefault="00374617">
      <w:pPr>
        <w:spacing w:after="0" w:line="240" w:lineRule="auto"/>
        <w:jc w:val="both"/>
        <w:rPr>
          <w:rFonts w:eastAsia="Arial Unicode MS" w:cstheme="minorHAnsi"/>
          <w:color w:val="000000"/>
          <w:lang w:eastAsia="en-GB"/>
        </w:rPr>
      </w:pPr>
      <w:r>
        <w:rPr>
          <w:rFonts w:eastAsia="Arial Unicode MS" w:cstheme="minorHAnsi"/>
          <w:color w:val="000000"/>
          <w:lang w:eastAsia="en-GB"/>
        </w:rPr>
        <w:t xml:space="preserve">For further information, please visit </w:t>
      </w:r>
      <w:hyperlink r:id="rId11" w:history="1">
        <w:r>
          <w:rPr>
            <w:rStyle w:val="Hyperlink"/>
            <w:rFonts w:eastAsia="Arial Unicode MS" w:cstheme="minorHAnsi"/>
            <w:lang w:eastAsia="en-GB"/>
          </w:rPr>
          <w:t>www.blackseapropertyplc.com</w:t>
        </w:r>
      </w:hyperlink>
      <w:r>
        <w:rPr>
          <w:rFonts w:eastAsia="Arial Unicode MS" w:cstheme="minorHAnsi"/>
          <w:color w:val="000000"/>
          <w:lang w:eastAsia="en-GB"/>
        </w:rPr>
        <w:t xml:space="preserve"> or contact the following:</w:t>
      </w:r>
    </w:p>
    <w:p w14:paraId="2F843F8D" w14:textId="77777777" w:rsidR="00BA69CC" w:rsidRDefault="00BA69CC">
      <w:pPr>
        <w:spacing w:after="0" w:line="240" w:lineRule="auto"/>
        <w:jc w:val="both"/>
        <w:rPr>
          <w:rFonts w:eastAsia="Arial Unicode MS" w:cstheme="minorHAnsi"/>
          <w:color w:val="000000"/>
          <w:lang w:eastAsia="en-GB"/>
        </w:rPr>
      </w:pPr>
    </w:p>
    <w:tbl>
      <w:tblPr>
        <w:tblW w:w="818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2835"/>
      </w:tblGrid>
      <w:tr w:rsidR="00BA69CC" w14:paraId="0795E021" w14:textId="77777777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BF1D" w14:textId="77777777" w:rsidR="00BA69CC" w:rsidRDefault="00374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BLACK SEA PROPERTY PLC</w:t>
            </w:r>
          </w:p>
          <w:p w14:paraId="6F5EB2E5" w14:textId="77777777" w:rsidR="00BA69CC" w:rsidRDefault="003746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Simon Hudd -  Chairman</w:t>
            </w:r>
          </w:p>
          <w:p w14:paraId="1F01E2AB" w14:textId="77777777" w:rsidR="00BA69CC" w:rsidRDefault="003746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8E1E" w14:textId="77777777" w:rsidR="00BA69CC" w:rsidRDefault="003746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+44(0) 774 702 0600</w:t>
            </w:r>
          </w:p>
        </w:tc>
      </w:tr>
      <w:tr w:rsidR="00BA69CC" w14:paraId="1A0DCF39" w14:textId="77777777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138E" w14:textId="77777777" w:rsidR="00BA69CC" w:rsidRDefault="0037461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PETERHOUSE CAPITAL LIMITED</w:t>
            </w:r>
          </w:p>
          <w:p w14:paraId="4C2EDF97" w14:textId="77777777" w:rsidR="00BA69CC" w:rsidRDefault="003746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Aquis Corporate Adviser</w:t>
            </w:r>
          </w:p>
          <w:p w14:paraId="3D4475C1" w14:textId="77777777" w:rsidR="00BA69CC" w:rsidRDefault="0037461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Heena Karani and Duncan Vasey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350C" w14:textId="77777777" w:rsidR="00BA69CC" w:rsidRDefault="0037461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+44 (0) 207 469 0930</w:t>
            </w:r>
          </w:p>
        </w:tc>
      </w:tr>
    </w:tbl>
    <w:p w14:paraId="1ED38A96" w14:textId="77777777" w:rsidR="00BA69CC" w:rsidRDefault="00BA69CC">
      <w:pPr>
        <w:spacing w:after="0" w:line="240" w:lineRule="auto"/>
        <w:rPr>
          <w:rFonts w:cstheme="minorHAnsi"/>
          <w:lang w:val="bg-BG"/>
        </w:rPr>
      </w:pPr>
    </w:p>
    <w:p w14:paraId="34785DE8" w14:textId="77777777" w:rsidR="00BA69CC" w:rsidRDefault="00374617">
      <w:pPr>
        <w:spacing w:after="0" w:line="240" w:lineRule="auto"/>
        <w:rPr>
          <w:rFonts w:cstheme="minorHAnsi"/>
          <w:b/>
          <w:bCs/>
          <w:lang w:val="bg-BG"/>
        </w:rPr>
      </w:pPr>
      <w:r>
        <w:rPr>
          <w:rFonts w:cstheme="minorHAnsi"/>
          <w:b/>
          <w:bCs/>
          <w:lang w:val="bg-BG"/>
        </w:rPr>
        <w:t>Market Abuse Regulation (MAR) Disclosure</w:t>
      </w:r>
    </w:p>
    <w:p w14:paraId="08B756B7" w14:textId="77777777" w:rsidR="00BA69CC" w:rsidRDefault="00374617">
      <w:pPr>
        <w:spacing w:after="0" w:line="24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This announcement contains inside information for the purposes of Article 7 of the Market Abuse Regulation EU 596/2014 as it forms part of retained EU law (as defined in the European Union (Withdrawal) Act 2018).</w:t>
      </w:r>
    </w:p>
    <w:p w14:paraId="7C865E41" w14:textId="77777777" w:rsidR="00BA69CC" w:rsidRDefault="00BA69CC">
      <w:pPr>
        <w:spacing w:after="0" w:line="240" w:lineRule="auto"/>
        <w:jc w:val="both"/>
        <w:rPr>
          <w:rFonts w:cstheme="minorHAnsi"/>
          <w:lang w:val="bg-BG"/>
        </w:rPr>
      </w:pPr>
    </w:p>
    <w:sectPr w:rsidR="00BA69CC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47D8" w14:textId="77777777" w:rsidR="000160BF" w:rsidRDefault="000160BF">
      <w:pPr>
        <w:spacing w:after="0" w:line="240" w:lineRule="auto"/>
      </w:pPr>
      <w:r>
        <w:separator/>
      </w:r>
    </w:p>
  </w:endnote>
  <w:endnote w:type="continuationSeparator" w:id="0">
    <w:p w14:paraId="6DFF4C98" w14:textId="77777777" w:rsidR="000160BF" w:rsidRDefault="000160BF">
      <w:pPr>
        <w:spacing w:after="0" w:line="240" w:lineRule="auto"/>
      </w:pPr>
      <w:r>
        <w:continuationSeparator/>
      </w:r>
    </w:p>
  </w:endnote>
  <w:endnote w:type="continuationNotice" w:id="1">
    <w:p w14:paraId="535D362B" w14:textId="77777777" w:rsidR="000160BF" w:rsidRDefault="00016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A1314" w14:textId="77777777" w:rsidR="000160BF" w:rsidRDefault="000160BF">
      <w:pPr>
        <w:spacing w:after="0" w:line="240" w:lineRule="auto"/>
      </w:pPr>
      <w:r>
        <w:separator/>
      </w:r>
    </w:p>
  </w:footnote>
  <w:footnote w:type="continuationSeparator" w:id="0">
    <w:p w14:paraId="74DEBEA4" w14:textId="77777777" w:rsidR="000160BF" w:rsidRDefault="000160BF">
      <w:pPr>
        <w:spacing w:after="0" w:line="240" w:lineRule="auto"/>
      </w:pPr>
      <w:r>
        <w:continuationSeparator/>
      </w:r>
    </w:p>
  </w:footnote>
  <w:footnote w:type="continuationNotice" w:id="1">
    <w:p w14:paraId="028A424F" w14:textId="77777777" w:rsidR="000160BF" w:rsidRDefault="000160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22A"/>
    <w:multiLevelType w:val="hybridMultilevel"/>
    <w:tmpl w:val="77044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372"/>
    <w:multiLevelType w:val="hybridMultilevel"/>
    <w:tmpl w:val="046C097A"/>
    <w:lvl w:ilvl="0" w:tplc="F67ECD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CC"/>
    <w:rsid w:val="000160BF"/>
    <w:rsid w:val="000F37DE"/>
    <w:rsid w:val="00374617"/>
    <w:rsid w:val="0047345C"/>
    <w:rsid w:val="00793A3E"/>
    <w:rsid w:val="00864B9F"/>
    <w:rsid w:val="00BA69CC"/>
    <w:rsid w:val="00C168E6"/>
    <w:rsid w:val="00F22D06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539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">
    <w:name w:val="am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">
    <w:name w:val="ak"/>
    <w:basedOn w:val="DefaultParagraphFont"/>
  </w:style>
  <w:style w:type="paragraph" w:customStyle="1" w:styleId="an">
    <w:name w:val="a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h">
    <w:name w:val="ah"/>
    <w:basedOn w:val="DefaultParagraphFont"/>
  </w:style>
  <w:style w:type="paragraph" w:customStyle="1" w:styleId="ar">
    <w:name w:val="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">
    <w:name w:val="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">
    <w:name w:val="a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a">
    <w:name w:val="aa"/>
    <w:basedOn w:val="DefaultParagraphFont"/>
  </w:style>
  <w:style w:type="paragraph" w:customStyle="1" w:styleId="av">
    <w:name w:val="av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">
    <w:name w:val="x"/>
    <w:basedOn w:val="DefaultParagraphFont"/>
  </w:style>
  <w:style w:type="paragraph" w:customStyle="1" w:styleId="ap">
    <w:name w:val="ap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w">
    <w:name w:val="aw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x">
    <w:name w:val="ax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Text1">
    <w:name w:val="BodyText 1"/>
    <w:basedOn w:val="Normal"/>
    <w:uiPriority w:val="1"/>
    <w:qFormat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ackseapropertypl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E7735B0C24F99FE1DB1B8523CEE" ma:contentTypeVersion="12" ma:contentTypeDescription="Create a new document." ma:contentTypeScope="" ma:versionID="24419c8e76dff02f7a41e27bf4a1c6d6">
  <xsd:schema xmlns:xsd="http://www.w3.org/2001/XMLSchema" xmlns:xs="http://www.w3.org/2001/XMLSchema" xmlns:p="http://schemas.microsoft.com/office/2006/metadata/properties" xmlns:ns2="13518483-d2f5-495b-b965-d558fa73cbea" xmlns:ns3="99230aa6-b2ab-47ce-919a-b8c3eac2dac6" targetNamespace="http://schemas.microsoft.com/office/2006/metadata/properties" ma:root="true" ma:fieldsID="98835277db4cbd803123c0bdf43450cc" ns2:_="" ns3:_="">
    <xsd:import namespace="13518483-d2f5-495b-b965-d558fa73cbea"/>
    <xsd:import namespace="99230aa6-b2ab-47ce-919a-b8c3eac2d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8483-d2f5-495b-b965-d558fa73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092492-b993-4838-8de2-a6060fcfe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0aa6-b2ab-47ce-919a-b8c3eac2d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2122c3-4855-41a5-ad07-6817f4e3b5eb}" ma:internalName="TaxCatchAll" ma:showField="CatchAllData" ma:web="99230aa6-b2ab-47ce-919a-b8c3eac2d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18483-d2f5-495b-b965-d558fa73cbea">
      <Terms xmlns="http://schemas.microsoft.com/office/infopath/2007/PartnerControls"/>
    </lcf76f155ced4ddcb4097134ff3c332f>
    <TaxCatchAll xmlns="99230aa6-b2ab-47ce-919a-b8c3eac2da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0A49-C9FF-42CC-AFA2-1E6E84BC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18483-d2f5-495b-b965-d558fa73cbea"/>
    <ds:schemaRef ds:uri="99230aa6-b2ab-47ce-919a-b8c3eac2d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4A3F2-0BED-4282-B116-41F3ED6B3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E9ED2-87EB-45E1-AAA9-98B6A169D9D4}">
  <ds:schemaRefs>
    <ds:schemaRef ds:uri="99230aa6-b2ab-47ce-919a-b8c3eac2dac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518483-d2f5-495b-b965-d558fa73cbe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A14CF6-E95A-46EB-B486-26D61918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2023-11-13T13:01:00Z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D">
    <vt:lpwstr>253266</vt:lpwstr>
  </property>
  <property fmtid="{D5CDD505-2E9C-101B-9397-08002B2CF9AE}" pid="3" name="ContentTypeId">
    <vt:lpwstr>0x0101001E72EE7735B0C24F99FE1DB1B8523CEE</vt:lpwstr>
  </property>
  <property fmtid="{D5CDD505-2E9C-101B-9397-08002B2CF9AE}" pid="4" name="Order">
    <vt:r8>1420600</vt:r8>
  </property>
  <property fmtid="{D5CDD505-2E9C-101B-9397-08002B2CF9AE}" pid="5" name="MediaServiceImageTags">
    <vt:lpwstr/>
  </property>
</Properties>
</file>