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85ABC" w14:textId="3993C77D" w:rsidR="005C32C9" w:rsidRPr="000A75E8" w:rsidRDefault="008B6ED5" w:rsidP="000A75E8">
      <w:pPr>
        <w:pStyle w:val="am"/>
        <w:spacing w:before="0" w:beforeAutospacing="0" w:after="0" w:afterAutospacing="0"/>
        <w:rPr>
          <w:rStyle w:val="ak"/>
          <w:rFonts w:asciiTheme="minorHAnsi" w:eastAsia="Arial Unicode MS" w:hAnsiTheme="minorHAnsi" w:cstheme="minorHAnsi"/>
          <w:color w:val="000000"/>
          <w:szCs w:val="22"/>
        </w:rPr>
      </w:pPr>
      <w:bookmarkStart w:id="0" w:name="_GoBack"/>
      <w:bookmarkEnd w:id="0"/>
      <w:r>
        <w:rPr>
          <w:rStyle w:val="ak"/>
          <w:rFonts w:asciiTheme="minorHAnsi" w:eastAsia="Arial Unicode MS" w:hAnsiTheme="minorHAnsi" w:cstheme="minorHAnsi"/>
          <w:color w:val="000000"/>
          <w:szCs w:val="22"/>
        </w:rPr>
        <w:t>7</w:t>
      </w:r>
      <w:r w:rsidR="005C32C9" w:rsidRPr="000A75E8">
        <w:rPr>
          <w:rStyle w:val="ak"/>
          <w:rFonts w:asciiTheme="minorHAnsi" w:eastAsia="Arial Unicode MS" w:hAnsiTheme="minorHAnsi" w:cstheme="minorHAnsi"/>
          <w:color w:val="000000"/>
          <w:szCs w:val="22"/>
        </w:rPr>
        <w:t xml:space="preserve"> </w:t>
      </w:r>
      <w:r w:rsidR="000A75E8">
        <w:rPr>
          <w:rStyle w:val="ak"/>
          <w:rFonts w:asciiTheme="minorHAnsi" w:eastAsia="Arial Unicode MS" w:hAnsiTheme="minorHAnsi" w:cstheme="minorHAnsi"/>
          <w:color w:val="000000"/>
          <w:szCs w:val="22"/>
        </w:rPr>
        <w:t>November</w:t>
      </w:r>
      <w:r w:rsidR="005C32C9" w:rsidRPr="000A75E8">
        <w:rPr>
          <w:rStyle w:val="ak"/>
          <w:rFonts w:asciiTheme="minorHAnsi" w:eastAsia="Arial Unicode MS" w:hAnsiTheme="minorHAnsi" w:cstheme="minorHAnsi"/>
          <w:color w:val="000000"/>
          <w:szCs w:val="22"/>
        </w:rPr>
        <w:t xml:space="preserve"> 2023</w:t>
      </w:r>
    </w:p>
    <w:p w14:paraId="1C5DAABD" w14:textId="072496C3" w:rsidR="00A61303" w:rsidRPr="001E6242" w:rsidRDefault="00AA5B8B">
      <w:pPr>
        <w:pStyle w:val="am"/>
        <w:spacing w:before="0" w:beforeAutospacing="0" w:after="0" w:afterAutospacing="0"/>
        <w:jc w:val="center"/>
        <w:rPr>
          <w:rFonts w:asciiTheme="minorHAnsi" w:eastAsia="Arial Unicode MS" w:hAnsiTheme="minorHAnsi" w:cstheme="minorHAnsi"/>
          <w:b/>
          <w:bCs/>
          <w:color w:val="000000"/>
          <w:szCs w:val="22"/>
        </w:rPr>
      </w:pPr>
      <w:r w:rsidRPr="001E6242">
        <w:rPr>
          <w:rStyle w:val="ak"/>
          <w:rFonts w:asciiTheme="minorHAnsi" w:eastAsia="Arial Unicode MS" w:hAnsiTheme="minorHAnsi" w:cstheme="minorHAnsi"/>
          <w:b/>
          <w:bCs/>
          <w:color w:val="000000"/>
          <w:szCs w:val="22"/>
        </w:rPr>
        <w:t>BLACK SEA PROPERTY PLC</w:t>
      </w:r>
    </w:p>
    <w:p w14:paraId="1C5DAABE" w14:textId="1DBD53C2" w:rsidR="00A61303" w:rsidRPr="001E6242" w:rsidRDefault="00AA5B8B">
      <w:pPr>
        <w:pStyle w:val="an"/>
        <w:spacing w:before="0" w:beforeAutospacing="0" w:after="0" w:afterAutospacing="0"/>
        <w:jc w:val="center"/>
        <w:rPr>
          <w:rFonts w:asciiTheme="minorHAnsi" w:eastAsia="Arial Unicode MS" w:hAnsiTheme="minorHAnsi" w:cstheme="minorHAnsi"/>
          <w:color w:val="000000"/>
          <w:szCs w:val="22"/>
        </w:rPr>
      </w:pPr>
      <w:r w:rsidRPr="001E6242">
        <w:rPr>
          <w:rStyle w:val="ah"/>
          <w:rFonts w:asciiTheme="minorHAnsi" w:eastAsia="Arial Unicode MS" w:hAnsiTheme="minorHAnsi" w:cstheme="minorHAnsi"/>
          <w:color w:val="000000"/>
          <w:szCs w:val="22"/>
        </w:rPr>
        <w:t>("Black Sea Property"</w:t>
      </w:r>
      <w:r w:rsidR="00C60A6A">
        <w:rPr>
          <w:rStyle w:val="ah"/>
          <w:rFonts w:asciiTheme="minorHAnsi" w:eastAsia="Arial Unicode MS" w:hAnsiTheme="minorHAnsi" w:cstheme="minorHAnsi"/>
          <w:color w:val="000000"/>
          <w:szCs w:val="22"/>
        </w:rPr>
        <w:t>, “BSP”</w:t>
      </w:r>
      <w:r w:rsidRPr="001E6242">
        <w:rPr>
          <w:rStyle w:val="ah"/>
          <w:rFonts w:asciiTheme="minorHAnsi" w:eastAsia="Arial Unicode MS" w:hAnsiTheme="minorHAnsi" w:cstheme="minorHAnsi"/>
          <w:color w:val="000000"/>
          <w:szCs w:val="22"/>
        </w:rPr>
        <w:t xml:space="preserve"> or the "Company")</w:t>
      </w:r>
    </w:p>
    <w:p w14:paraId="1C5DAABF" w14:textId="77777777" w:rsidR="00A61303" w:rsidRPr="001E6242" w:rsidRDefault="00A61303">
      <w:pPr>
        <w:spacing w:after="0" w:line="240" w:lineRule="auto"/>
        <w:rPr>
          <w:rFonts w:cstheme="minorHAnsi"/>
        </w:rPr>
      </w:pPr>
    </w:p>
    <w:p w14:paraId="59559D95" w14:textId="2520ED60" w:rsidR="00960C3B" w:rsidRDefault="00960C3B" w:rsidP="00B802C2">
      <w:pPr>
        <w:spacing w:after="0" w:line="240" w:lineRule="auto"/>
        <w:jc w:val="center"/>
        <w:rPr>
          <w:rFonts w:cstheme="minorHAnsi"/>
          <w:b/>
          <w:sz w:val="24"/>
        </w:rPr>
      </w:pPr>
      <w:r>
        <w:rPr>
          <w:rFonts w:cstheme="minorHAnsi"/>
          <w:b/>
          <w:sz w:val="24"/>
        </w:rPr>
        <w:t>Completion of the Acquisition of Grand Hotel Varna</w:t>
      </w:r>
    </w:p>
    <w:p w14:paraId="46018A4D" w14:textId="65A22A72" w:rsidR="00960C3B" w:rsidRDefault="00960C3B" w:rsidP="00B802C2">
      <w:pPr>
        <w:spacing w:after="0" w:line="240" w:lineRule="auto"/>
        <w:jc w:val="center"/>
        <w:rPr>
          <w:rFonts w:cstheme="minorHAnsi"/>
          <w:b/>
          <w:sz w:val="24"/>
        </w:rPr>
      </w:pPr>
      <w:r>
        <w:rPr>
          <w:rFonts w:cstheme="minorHAnsi"/>
          <w:b/>
          <w:sz w:val="24"/>
        </w:rPr>
        <w:t>EUR 2</w:t>
      </w:r>
      <w:r w:rsidR="00797B73">
        <w:rPr>
          <w:rFonts w:cstheme="minorHAnsi"/>
          <w:b/>
          <w:sz w:val="24"/>
        </w:rPr>
        <w:t>1</w:t>
      </w:r>
      <w:r>
        <w:rPr>
          <w:rFonts w:cstheme="minorHAnsi"/>
          <w:b/>
          <w:sz w:val="24"/>
        </w:rPr>
        <w:t>.</w:t>
      </w:r>
      <w:r w:rsidR="00797B73">
        <w:rPr>
          <w:rFonts w:cstheme="minorHAnsi"/>
          <w:b/>
          <w:sz w:val="24"/>
        </w:rPr>
        <w:t>1</w:t>
      </w:r>
      <w:r>
        <w:rPr>
          <w:rFonts w:cstheme="minorHAnsi"/>
          <w:b/>
          <w:sz w:val="24"/>
        </w:rPr>
        <w:t xml:space="preserve"> million fundraise</w:t>
      </w:r>
    </w:p>
    <w:p w14:paraId="7B491378" w14:textId="356E633F" w:rsidR="000B423F" w:rsidRPr="001E6242" w:rsidRDefault="000C7A9A" w:rsidP="00383643">
      <w:pPr>
        <w:spacing w:after="0" w:line="240" w:lineRule="auto"/>
        <w:jc w:val="center"/>
        <w:rPr>
          <w:rFonts w:cstheme="minorHAnsi"/>
          <w:b/>
          <w:sz w:val="24"/>
        </w:rPr>
      </w:pPr>
      <w:r>
        <w:rPr>
          <w:rFonts w:cstheme="minorHAnsi"/>
          <w:b/>
          <w:sz w:val="24"/>
        </w:rPr>
        <w:t>A</w:t>
      </w:r>
      <w:r w:rsidR="00AA5B8B" w:rsidRPr="001E6242">
        <w:rPr>
          <w:rFonts w:cstheme="minorHAnsi"/>
          <w:b/>
          <w:sz w:val="24"/>
        </w:rPr>
        <w:t xml:space="preserve">cquisition of </w:t>
      </w:r>
      <w:r w:rsidR="000D4629" w:rsidRPr="001E6242">
        <w:rPr>
          <w:rFonts w:cstheme="minorHAnsi"/>
          <w:b/>
          <w:sz w:val="24"/>
        </w:rPr>
        <w:t xml:space="preserve">a majority stake in </w:t>
      </w:r>
      <w:r w:rsidR="0093532F">
        <w:rPr>
          <w:rFonts w:cstheme="minorHAnsi"/>
          <w:b/>
          <w:sz w:val="24"/>
        </w:rPr>
        <w:t>Littoral Invest E</w:t>
      </w:r>
      <w:r w:rsidR="000D4629" w:rsidRPr="001E6242">
        <w:rPr>
          <w:rFonts w:cstheme="minorHAnsi"/>
          <w:b/>
          <w:sz w:val="24"/>
        </w:rPr>
        <w:t>AD</w:t>
      </w:r>
    </w:p>
    <w:p w14:paraId="0C936E77" w14:textId="77777777" w:rsidR="005276DE" w:rsidRPr="001E6242" w:rsidRDefault="005276DE" w:rsidP="005276DE">
      <w:pPr>
        <w:spacing w:after="0" w:line="240" w:lineRule="auto"/>
        <w:rPr>
          <w:rFonts w:cstheme="minorHAnsi"/>
        </w:rPr>
      </w:pPr>
    </w:p>
    <w:p w14:paraId="04230E62" w14:textId="068ECB64" w:rsidR="00806D2F" w:rsidRPr="00E10E5F" w:rsidRDefault="00806D2F" w:rsidP="009C7709">
      <w:pPr>
        <w:pStyle w:val="BodyText1"/>
        <w:spacing w:after="0"/>
        <w:rPr>
          <w:rFonts w:asciiTheme="minorHAnsi" w:eastAsiaTheme="minorHAnsi" w:hAnsiTheme="minorHAnsi" w:cstheme="minorHAnsi"/>
          <w:b/>
          <w:bCs/>
          <w:szCs w:val="22"/>
        </w:rPr>
      </w:pPr>
      <w:r w:rsidRPr="00E10E5F">
        <w:rPr>
          <w:rFonts w:asciiTheme="minorHAnsi" w:eastAsiaTheme="minorHAnsi" w:hAnsiTheme="minorHAnsi" w:cstheme="minorHAnsi"/>
          <w:b/>
          <w:bCs/>
          <w:szCs w:val="22"/>
        </w:rPr>
        <w:t xml:space="preserve">Highlights: </w:t>
      </w:r>
    </w:p>
    <w:p w14:paraId="4F7004DD" w14:textId="390A3D75" w:rsidR="0094375F" w:rsidRDefault="0094375F" w:rsidP="00806D2F">
      <w:pPr>
        <w:pStyle w:val="BodyText1"/>
        <w:numPr>
          <w:ilvl w:val="0"/>
          <w:numId w:val="3"/>
        </w:numPr>
        <w:spacing w:after="0"/>
        <w:rPr>
          <w:rFonts w:asciiTheme="minorHAnsi" w:eastAsiaTheme="minorHAnsi" w:hAnsiTheme="minorHAnsi" w:cstheme="minorHAnsi"/>
          <w:szCs w:val="22"/>
        </w:rPr>
      </w:pPr>
      <w:r>
        <w:rPr>
          <w:rFonts w:asciiTheme="minorHAnsi" w:eastAsiaTheme="minorHAnsi" w:hAnsiTheme="minorHAnsi" w:cstheme="minorHAnsi"/>
          <w:szCs w:val="22"/>
        </w:rPr>
        <w:t>Completion of the acquisition of Grand Hotel Varna</w:t>
      </w:r>
      <w:r w:rsidR="0073265B">
        <w:rPr>
          <w:rFonts w:asciiTheme="minorHAnsi" w:eastAsiaTheme="minorHAnsi" w:hAnsiTheme="minorHAnsi" w:cstheme="minorHAnsi"/>
          <w:szCs w:val="22"/>
        </w:rPr>
        <w:t xml:space="preserve">, </w:t>
      </w:r>
      <w:r w:rsidR="000C45BE">
        <w:rPr>
          <w:rFonts w:asciiTheme="minorHAnsi" w:eastAsiaTheme="minorHAnsi" w:hAnsiTheme="minorHAnsi" w:cstheme="minorHAnsi"/>
          <w:szCs w:val="22"/>
        </w:rPr>
        <w:t>including</w:t>
      </w:r>
      <w:r w:rsidR="0073265B">
        <w:rPr>
          <w:rFonts w:asciiTheme="minorHAnsi" w:eastAsiaTheme="minorHAnsi" w:hAnsiTheme="minorHAnsi" w:cstheme="minorHAnsi"/>
          <w:szCs w:val="22"/>
        </w:rPr>
        <w:t xml:space="preserve"> </w:t>
      </w:r>
      <w:r w:rsidR="00B92DE9">
        <w:rPr>
          <w:rFonts w:asciiTheme="minorHAnsi" w:eastAsiaTheme="minorHAnsi" w:hAnsiTheme="minorHAnsi" w:cstheme="minorHAnsi"/>
          <w:szCs w:val="22"/>
        </w:rPr>
        <w:t>three hotels and a beach marina resort</w:t>
      </w:r>
      <w:r w:rsidR="00960C3B">
        <w:rPr>
          <w:rFonts w:asciiTheme="minorHAnsi" w:eastAsiaTheme="minorHAnsi" w:hAnsiTheme="minorHAnsi" w:cstheme="minorHAnsi"/>
          <w:szCs w:val="22"/>
        </w:rPr>
        <w:t xml:space="preserve"> on the Black Sea coast</w:t>
      </w:r>
      <w:r w:rsidR="00B510F2">
        <w:rPr>
          <w:rFonts w:asciiTheme="minorHAnsi" w:eastAsiaTheme="minorHAnsi" w:hAnsiTheme="minorHAnsi" w:cstheme="minorHAnsi"/>
          <w:szCs w:val="22"/>
        </w:rPr>
        <w:t>.</w:t>
      </w:r>
    </w:p>
    <w:p w14:paraId="3D0FBDA6" w14:textId="77777777" w:rsidR="00D03A22" w:rsidRPr="00D03A22" w:rsidRDefault="00D03A22" w:rsidP="00D03A22">
      <w:pPr>
        <w:pStyle w:val="BodyText1"/>
        <w:numPr>
          <w:ilvl w:val="0"/>
          <w:numId w:val="3"/>
        </w:numPr>
        <w:spacing w:after="0"/>
        <w:rPr>
          <w:rFonts w:asciiTheme="minorHAnsi" w:eastAsiaTheme="minorHAnsi" w:hAnsiTheme="minorHAnsi" w:cstheme="minorHAnsi"/>
          <w:szCs w:val="22"/>
        </w:rPr>
      </w:pPr>
      <w:r w:rsidRPr="00D03A22">
        <w:rPr>
          <w:rFonts w:asciiTheme="minorHAnsi" w:eastAsiaTheme="minorHAnsi" w:hAnsiTheme="minorHAnsi" w:cstheme="minorHAnsi"/>
          <w:szCs w:val="22"/>
        </w:rPr>
        <w:t>EUR 21.1 million fundraising, with EUR 10.8 million raised through a placing of new ordinary shares (the “Placing”) at a price of EUR 0.016 per share (the “Placing Price”) and through the issuance of EUR 10.8 million of unsecured loan notes (“Loan Notes”);</w:t>
      </w:r>
    </w:p>
    <w:p w14:paraId="5F16BEB5" w14:textId="77777777" w:rsidR="00C60A6A" w:rsidRDefault="00D03A22" w:rsidP="00960C3B">
      <w:pPr>
        <w:pStyle w:val="BodyText1"/>
        <w:numPr>
          <w:ilvl w:val="0"/>
          <w:numId w:val="3"/>
        </w:numPr>
        <w:spacing w:after="0"/>
        <w:rPr>
          <w:rFonts w:asciiTheme="minorHAnsi" w:eastAsiaTheme="minorHAnsi" w:hAnsiTheme="minorHAnsi" w:cstheme="minorHAnsi"/>
          <w:szCs w:val="22"/>
        </w:rPr>
      </w:pPr>
      <w:r w:rsidRPr="00D03A22">
        <w:rPr>
          <w:rFonts w:asciiTheme="minorHAnsi" w:eastAsiaTheme="minorHAnsi" w:hAnsiTheme="minorHAnsi" w:cstheme="minorHAnsi"/>
          <w:szCs w:val="22"/>
        </w:rPr>
        <w:t>Placing Price equivalent to the Company’s last stated NAV per share;</w:t>
      </w:r>
      <w:r w:rsidRPr="00D03A22" w:rsidDel="00D03A22">
        <w:rPr>
          <w:rFonts w:asciiTheme="minorHAnsi" w:eastAsiaTheme="minorHAnsi" w:hAnsiTheme="minorHAnsi" w:cstheme="minorHAnsi"/>
          <w:szCs w:val="22"/>
        </w:rPr>
        <w:t xml:space="preserve"> </w:t>
      </w:r>
    </w:p>
    <w:p w14:paraId="55D74FBE" w14:textId="27721830" w:rsidR="00960C3B" w:rsidRDefault="00960C3B" w:rsidP="00960C3B">
      <w:pPr>
        <w:pStyle w:val="BodyText1"/>
        <w:numPr>
          <w:ilvl w:val="0"/>
          <w:numId w:val="3"/>
        </w:numPr>
        <w:spacing w:after="0"/>
        <w:rPr>
          <w:rFonts w:asciiTheme="minorHAnsi" w:eastAsiaTheme="minorHAnsi" w:hAnsiTheme="minorHAnsi" w:cstheme="minorHAnsi"/>
          <w:szCs w:val="22"/>
        </w:rPr>
      </w:pPr>
      <w:r>
        <w:rPr>
          <w:rFonts w:asciiTheme="minorHAnsi" w:eastAsiaTheme="minorHAnsi" w:hAnsiTheme="minorHAnsi" w:cstheme="minorHAnsi"/>
          <w:szCs w:val="22"/>
        </w:rPr>
        <w:t>Acquisition of a majority stake in Littoral Invest EAD, which holds a portfolio of assets</w:t>
      </w:r>
      <w:r w:rsidR="00383643">
        <w:rPr>
          <w:rFonts w:asciiTheme="minorHAnsi" w:eastAsiaTheme="minorHAnsi" w:hAnsiTheme="minorHAnsi" w:cstheme="minorHAnsi"/>
          <w:szCs w:val="22"/>
        </w:rPr>
        <w:t xml:space="preserve">, also </w:t>
      </w:r>
      <w:r>
        <w:rPr>
          <w:rFonts w:asciiTheme="minorHAnsi" w:eastAsiaTheme="minorHAnsi" w:hAnsiTheme="minorHAnsi" w:cstheme="minorHAnsi"/>
          <w:szCs w:val="22"/>
        </w:rPr>
        <w:t xml:space="preserve">in Varna. </w:t>
      </w:r>
    </w:p>
    <w:p w14:paraId="6891760B" w14:textId="05105813" w:rsidR="00960C3B" w:rsidRPr="00E10E5F" w:rsidRDefault="00960C3B" w:rsidP="00806D2F">
      <w:pPr>
        <w:pStyle w:val="BodyText1"/>
        <w:numPr>
          <w:ilvl w:val="0"/>
          <w:numId w:val="3"/>
        </w:numPr>
        <w:spacing w:after="0"/>
        <w:rPr>
          <w:rFonts w:asciiTheme="minorHAnsi" w:eastAsiaTheme="minorHAnsi" w:hAnsiTheme="minorHAnsi" w:cstheme="minorHAnsi"/>
          <w:szCs w:val="22"/>
        </w:rPr>
      </w:pPr>
      <w:r>
        <w:rPr>
          <w:rFonts w:asciiTheme="minorHAnsi" w:eastAsiaTheme="minorHAnsi" w:hAnsiTheme="minorHAnsi" w:cstheme="minorHAnsi"/>
          <w:szCs w:val="22"/>
        </w:rPr>
        <w:t xml:space="preserve">Total of </w:t>
      </w:r>
      <w:r w:rsidR="00CE418E">
        <w:rPr>
          <w:rFonts w:asciiTheme="minorHAnsi" w:eastAsiaTheme="minorHAnsi" w:hAnsiTheme="minorHAnsi" w:cstheme="minorHAnsi"/>
          <w:szCs w:val="22"/>
        </w:rPr>
        <w:t>EUR</w:t>
      </w:r>
      <w:r w:rsidR="00EB16D1">
        <w:rPr>
          <w:rFonts w:asciiTheme="minorHAnsi" w:eastAsiaTheme="minorHAnsi" w:hAnsiTheme="minorHAnsi" w:cstheme="minorHAnsi"/>
          <w:szCs w:val="22"/>
        </w:rPr>
        <w:t xml:space="preserve"> </w:t>
      </w:r>
      <w:r w:rsidR="00797B73">
        <w:rPr>
          <w:rStyle w:val="ak"/>
          <w:rFonts w:asciiTheme="minorHAnsi" w:eastAsia="Arial Unicode MS" w:hAnsiTheme="minorHAnsi" w:cstheme="minorHAnsi"/>
          <w:color w:val="000000"/>
          <w:szCs w:val="22"/>
        </w:rPr>
        <w:t>33.1</w:t>
      </w:r>
      <w:r>
        <w:rPr>
          <w:rStyle w:val="ak"/>
          <w:rFonts w:asciiTheme="minorHAnsi" w:eastAsia="Arial Unicode MS" w:hAnsiTheme="minorHAnsi" w:cstheme="minorHAnsi"/>
          <w:color w:val="000000"/>
          <w:szCs w:val="22"/>
        </w:rPr>
        <w:t xml:space="preserve"> million raised from new and existing investors</w:t>
      </w:r>
      <w:r w:rsidR="00CE418E">
        <w:rPr>
          <w:rStyle w:val="ak"/>
          <w:rFonts w:asciiTheme="minorHAnsi" w:eastAsia="Arial Unicode MS" w:hAnsiTheme="minorHAnsi" w:cstheme="minorHAnsi"/>
          <w:color w:val="000000"/>
          <w:szCs w:val="22"/>
        </w:rPr>
        <w:t xml:space="preserve"> since July 2023.</w:t>
      </w:r>
    </w:p>
    <w:p w14:paraId="54522D23" w14:textId="5C79E956" w:rsidR="00CE418E" w:rsidRDefault="00CE418E" w:rsidP="00E10E5F">
      <w:pPr>
        <w:pStyle w:val="BodyText1"/>
        <w:spacing w:after="0"/>
        <w:ind w:left="720"/>
        <w:rPr>
          <w:rFonts w:asciiTheme="minorHAnsi" w:eastAsiaTheme="minorHAnsi" w:hAnsiTheme="minorHAnsi" w:cstheme="minorHAnsi"/>
          <w:szCs w:val="22"/>
        </w:rPr>
      </w:pPr>
    </w:p>
    <w:p w14:paraId="77D9FF47" w14:textId="77777777" w:rsidR="00797B73" w:rsidRDefault="00797B73" w:rsidP="009C7709">
      <w:pPr>
        <w:pStyle w:val="BodyText1"/>
        <w:spacing w:after="0"/>
        <w:rPr>
          <w:rFonts w:asciiTheme="minorHAnsi" w:eastAsiaTheme="minorHAnsi" w:hAnsiTheme="minorHAnsi" w:cstheme="minorHAnsi"/>
          <w:b/>
          <w:bCs/>
          <w:szCs w:val="22"/>
        </w:rPr>
      </w:pPr>
    </w:p>
    <w:p w14:paraId="62445210" w14:textId="0FE8FA60" w:rsidR="00806D2F" w:rsidRDefault="00CE418E" w:rsidP="009C7709">
      <w:pPr>
        <w:pStyle w:val="BodyText1"/>
        <w:spacing w:after="0"/>
        <w:rPr>
          <w:rFonts w:asciiTheme="minorHAnsi" w:eastAsiaTheme="minorHAnsi" w:hAnsiTheme="minorHAnsi" w:cstheme="minorHAnsi"/>
          <w:b/>
          <w:bCs/>
          <w:szCs w:val="22"/>
        </w:rPr>
      </w:pPr>
      <w:r w:rsidRPr="00E10E5F">
        <w:rPr>
          <w:rFonts w:asciiTheme="minorHAnsi" w:eastAsiaTheme="minorHAnsi" w:hAnsiTheme="minorHAnsi" w:cstheme="minorHAnsi"/>
          <w:b/>
          <w:bCs/>
          <w:szCs w:val="22"/>
        </w:rPr>
        <w:t>Completion of Acquisition and Fundraise</w:t>
      </w:r>
    </w:p>
    <w:p w14:paraId="6F85D4D5" w14:textId="77777777" w:rsidR="00FB1D82" w:rsidRPr="00E10E5F" w:rsidRDefault="00FB1D82" w:rsidP="009C7709">
      <w:pPr>
        <w:pStyle w:val="BodyText1"/>
        <w:spacing w:after="0"/>
        <w:rPr>
          <w:rFonts w:asciiTheme="minorHAnsi" w:eastAsiaTheme="minorHAnsi" w:hAnsiTheme="minorHAnsi" w:cstheme="minorHAnsi"/>
          <w:b/>
          <w:bCs/>
          <w:szCs w:val="22"/>
        </w:rPr>
      </w:pPr>
    </w:p>
    <w:p w14:paraId="2CE1E1F6" w14:textId="096A58E9" w:rsidR="00F90B97" w:rsidRDefault="00FF27B6" w:rsidP="009C7709">
      <w:pPr>
        <w:pStyle w:val="BodyText1"/>
        <w:spacing w:after="0"/>
        <w:rPr>
          <w:rFonts w:asciiTheme="minorHAnsi" w:eastAsiaTheme="minorHAnsi" w:hAnsiTheme="minorHAnsi" w:cstheme="minorHAnsi"/>
          <w:szCs w:val="22"/>
        </w:rPr>
      </w:pPr>
      <w:r w:rsidRPr="00FF27B6">
        <w:rPr>
          <w:rFonts w:asciiTheme="minorHAnsi" w:eastAsiaTheme="minorHAnsi" w:hAnsiTheme="minorHAnsi" w:cstheme="minorHAnsi"/>
          <w:szCs w:val="22"/>
        </w:rPr>
        <w:t xml:space="preserve">Black Sea Property PLC, the Bulgarian real estate investment company, </w:t>
      </w:r>
      <w:r>
        <w:rPr>
          <w:rFonts w:asciiTheme="minorHAnsi" w:eastAsiaTheme="minorHAnsi" w:hAnsiTheme="minorHAnsi" w:cstheme="minorHAnsi"/>
          <w:szCs w:val="22"/>
        </w:rPr>
        <w:t>is pleased to announce that i</w:t>
      </w:r>
      <w:r w:rsidR="00A216A7">
        <w:rPr>
          <w:rFonts w:asciiTheme="minorHAnsi" w:eastAsiaTheme="minorHAnsi" w:hAnsiTheme="minorHAnsi" w:cstheme="minorHAnsi"/>
          <w:szCs w:val="22"/>
        </w:rPr>
        <w:t>t</w:t>
      </w:r>
      <w:r w:rsidRPr="00FF27B6">
        <w:rPr>
          <w:rFonts w:asciiTheme="minorHAnsi" w:eastAsiaTheme="minorHAnsi" w:hAnsiTheme="minorHAnsi" w:cstheme="minorHAnsi"/>
          <w:szCs w:val="22"/>
        </w:rPr>
        <w:t xml:space="preserve"> has </w:t>
      </w:r>
      <w:r w:rsidR="00960C3B">
        <w:rPr>
          <w:rFonts w:asciiTheme="minorHAnsi" w:eastAsiaTheme="minorHAnsi" w:hAnsiTheme="minorHAnsi" w:cstheme="minorHAnsi"/>
          <w:szCs w:val="22"/>
        </w:rPr>
        <w:t>completed the acquisition of a 98.27% interest in Grand Hotel Varna</w:t>
      </w:r>
      <w:r w:rsidR="00B802C2">
        <w:rPr>
          <w:rFonts w:asciiTheme="minorHAnsi" w:eastAsiaTheme="minorHAnsi" w:hAnsiTheme="minorHAnsi" w:cstheme="minorHAnsi"/>
          <w:szCs w:val="22"/>
        </w:rPr>
        <w:t xml:space="preserve">, originally announced in July 2023. In addition, the Company announces that it has </w:t>
      </w:r>
      <w:r w:rsidRPr="00FF27B6">
        <w:rPr>
          <w:rFonts w:asciiTheme="minorHAnsi" w:eastAsiaTheme="minorHAnsi" w:hAnsiTheme="minorHAnsi" w:cstheme="minorHAnsi"/>
          <w:szCs w:val="22"/>
        </w:rPr>
        <w:t xml:space="preserve">raised an additional EUR </w:t>
      </w:r>
      <w:r w:rsidR="00127468">
        <w:rPr>
          <w:rFonts w:asciiTheme="minorHAnsi" w:eastAsiaTheme="minorHAnsi" w:hAnsiTheme="minorHAnsi" w:cstheme="minorHAnsi"/>
          <w:szCs w:val="22"/>
        </w:rPr>
        <w:t>21.</w:t>
      </w:r>
      <w:r w:rsidR="00797B73">
        <w:rPr>
          <w:rFonts w:asciiTheme="minorHAnsi" w:eastAsiaTheme="minorHAnsi" w:hAnsiTheme="minorHAnsi" w:cstheme="minorHAnsi"/>
          <w:szCs w:val="22"/>
        </w:rPr>
        <w:t>1</w:t>
      </w:r>
      <w:r w:rsidR="00127468">
        <w:rPr>
          <w:rFonts w:asciiTheme="minorHAnsi" w:eastAsiaTheme="minorHAnsi" w:hAnsiTheme="minorHAnsi" w:cstheme="minorHAnsi"/>
          <w:szCs w:val="22"/>
        </w:rPr>
        <w:t xml:space="preserve"> million</w:t>
      </w:r>
      <w:r w:rsidR="00383643">
        <w:rPr>
          <w:rFonts w:asciiTheme="minorHAnsi" w:eastAsiaTheme="minorHAnsi" w:hAnsiTheme="minorHAnsi" w:cstheme="minorHAnsi"/>
          <w:szCs w:val="22"/>
        </w:rPr>
        <w:t xml:space="preserve"> </w:t>
      </w:r>
      <w:r w:rsidR="00CE418E">
        <w:rPr>
          <w:rFonts w:asciiTheme="minorHAnsi" w:eastAsiaTheme="minorHAnsi" w:hAnsiTheme="minorHAnsi" w:cstheme="minorHAnsi"/>
          <w:szCs w:val="22"/>
        </w:rPr>
        <w:t xml:space="preserve">through the issue of </w:t>
      </w:r>
      <w:r w:rsidR="00F90B97">
        <w:rPr>
          <w:rFonts w:asciiTheme="minorHAnsi" w:eastAsiaTheme="minorHAnsi" w:hAnsiTheme="minorHAnsi" w:cstheme="minorHAnsi"/>
          <w:szCs w:val="22"/>
        </w:rPr>
        <w:t xml:space="preserve">EUR </w:t>
      </w:r>
      <w:r w:rsidR="00127468">
        <w:rPr>
          <w:rFonts w:asciiTheme="minorHAnsi" w:eastAsiaTheme="minorHAnsi" w:hAnsiTheme="minorHAnsi" w:cstheme="minorHAnsi"/>
          <w:szCs w:val="22"/>
        </w:rPr>
        <w:t>10.8 million</w:t>
      </w:r>
      <w:r w:rsidR="00CE418E">
        <w:rPr>
          <w:rFonts w:asciiTheme="minorHAnsi" w:eastAsiaTheme="minorHAnsi" w:hAnsiTheme="minorHAnsi" w:cstheme="minorHAnsi"/>
          <w:szCs w:val="22"/>
        </w:rPr>
        <w:t xml:space="preserve"> of</w:t>
      </w:r>
      <w:r w:rsidRPr="00FF27B6">
        <w:rPr>
          <w:rFonts w:asciiTheme="minorHAnsi" w:eastAsiaTheme="minorHAnsi" w:hAnsiTheme="minorHAnsi" w:cstheme="minorHAnsi"/>
          <w:szCs w:val="22"/>
        </w:rPr>
        <w:t xml:space="preserve"> </w:t>
      </w:r>
      <w:r w:rsidR="00CE418E">
        <w:rPr>
          <w:rFonts w:asciiTheme="minorHAnsi" w:eastAsiaTheme="minorHAnsi" w:hAnsiTheme="minorHAnsi" w:cstheme="minorHAnsi"/>
          <w:szCs w:val="22"/>
        </w:rPr>
        <w:t xml:space="preserve">Loan Notes and </w:t>
      </w:r>
      <w:r w:rsidRPr="00FF27B6">
        <w:rPr>
          <w:rFonts w:asciiTheme="minorHAnsi" w:eastAsiaTheme="minorHAnsi" w:hAnsiTheme="minorHAnsi" w:cstheme="minorHAnsi"/>
          <w:szCs w:val="22"/>
        </w:rPr>
        <w:t xml:space="preserve">a placing </w:t>
      </w:r>
      <w:r w:rsidR="00B802C2">
        <w:rPr>
          <w:rFonts w:asciiTheme="minorHAnsi" w:eastAsiaTheme="minorHAnsi" w:hAnsiTheme="minorHAnsi" w:cstheme="minorHAnsi"/>
          <w:szCs w:val="22"/>
        </w:rPr>
        <w:t>of</w:t>
      </w:r>
      <w:r w:rsidR="00B802C2" w:rsidRPr="00FF27B6">
        <w:rPr>
          <w:rFonts w:asciiTheme="minorHAnsi" w:eastAsiaTheme="minorHAnsi" w:hAnsiTheme="minorHAnsi" w:cstheme="minorHAnsi"/>
          <w:szCs w:val="22"/>
        </w:rPr>
        <w:t xml:space="preserve"> 645,000,000 </w:t>
      </w:r>
      <w:r w:rsidR="00B802C2">
        <w:rPr>
          <w:rFonts w:asciiTheme="minorHAnsi" w:eastAsiaTheme="minorHAnsi" w:hAnsiTheme="minorHAnsi" w:cstheme="minorHAnsi"/>
          <w:szCs w:val="22"/>
        </w:rPr>
        <w:t xml:space="preserve">new ordinary </w:t>
      </w:r>
      <w:r w:rsidR="00B802C2" w:rsidRPr="00FF27B6">
        <w:rPr>
          <w:rFonts w:asciiTheme="minorHAnsi" w:eastAsiaTheme="minorHAnsi" w:hAnsiTheme="minorHAnsi" w:cstheme="minorHAnsi"/>
          <w:szCs w:val="22"/>
        </w:rPr>
        <w:t>shares</w:t>
      </w:r>
      <w:r w:rsidR="00B802C2">
        <w:rPr>
          <w:rFonts w:asciiTheme="minorHAnsi" w:eastAsiaTheme="minorHAnsi" w:hAnsiTheme="minorHAnsi" w:cstheme="minorHAnsi"/>
          <w:szCs w:val="22"/>
        </w:rPr>
        <w:t xml:space="preserve"> of nil par value in the Company (“Ordinary Shares”; the “Placing Shares”)</w:t>
      </w:r>
      <w:r w:rsidR="00B802C2" w:rsidRPr="00FF27B6">
        <w:rPr>
          <w:rFonts w:asciiTheme="minorHAnsi" w:eastAsiaTheme="minorHAnsi" w:hAnsiTheme="minorHAnsi" w:cstheme="minorHAnsi"/>
          <w:szCs w:val="22"/>
        </w:rPr>
        <w:t xml:space="preserve"> at </w:t>
      </w:r>
      <w:r w:rsidR="00FD3E1B">
        <w:rPr>
          <w:rFonts w:asciiTheme="minorHAnsi" w:eastAsiaTheme="minorHAnsi" w:hAnsiTheme="minorHAnsi" w:cstheme="minorHAnsi"/>
          <w:szCs w:val="22"/>
        </w:rPr>
        <w:t>the Placing Price</w:t>
      </w:r>
      <w:r w:rsidR="00B802C2">
        <w:rPr>
          <w:rFonts w:asciiTheme="minorHAnsi" w:eastAsiaTheme="minorHAnsi" w:hAnsiTheme="minorHAnsi" w:cstheme="minorHAnsi"/>
          <w:szCs w:val="22"/>
        </w:rPr>
        <w:t>, raising</w:t>
      </w:r>
      <w:r w:rsidR="00F90B97">
        <w:rPr>
          <w:rFonts w:asciiTheme="minorHAnsi" w:eastAsiaTheme="minorHAnsi" w:hAnsiTheme="minorHAnsi" w:cstheme="minorHAnsi"/>
          <w:szCs w:val="22"/>
        </w:rPr>
        <w:t xml:space="preserve"> </w:t>
      </w:r>
      <w:r w:rsidR="00F90B97" w:rsidRPr="00FF27B6">
        <w:rPr>
          <w:rFonts w:asciiTheme="minorHAnsi" w:eastAsiaTheme="minorHAnsi" w:hAnsiTheme="minorHAnsi" w:cstheme="minorHAnsi"/>
          <w:szCs w:val="22"/>
        </w:rPr>
        <w:t xml:space="preserve">EUR </w:t>
      </w:r>
      <w:r w:rsidR="00127468">
        <w:rPr>
          <w:rFonts w:asciiTheme="minorHAnsi" w:eastAsiaTheme="minorHAnsi" w:hAnsiTheme="minorHAnsi" w:cstheme="minorHAnsi"/>
          <w:szCs w:val="22"/>
        </w:rPr>
        <w:t>10.32 million</w:t>
      </w:r>
      <w:r w:rsidR="00B802C2">
        <w:rPr>
          <w:rFonts w:asciiTheme="minorHAnsi" w:eastAsiaTheme="minorHAnsi" w:hAnsiTheme="minorHAnsi" w:cstheme="minorHAnsi"/>
          <w:szCs w:val="22"/>
        </w:rPr>
        <w:t>.</w:t>
      </w:r>
      <w:r w:rsidR="00FD3E1B">
        <w:rPr>
          <w:rFonts w:asciiTheme="minorHAnsi" w:eastAsiaTheme="minorHAnsi" w:hAnsiTheme="minorHAnsi" w:cstheme="minorHAnsi"/>
          <w:szCs w:val="22"/>
        </w:rPr>
        <w:t xml:space="preserve"> The Placing Price is based on the </w:t>
      </w:r>
      <w:r w:rsidR="00C60A6A">
        <w:rPr>
          <w:rFonts w:asciiTheme="minorHAnsi" w:eastAsiaTheme="minorHAnsi" w:hAnsiTheme="minorHAnsi" w:cstheme="minorHAnsi"/>
          <w:szCs w:val="22"/>
        </w:rPr>
        <w:t xml:space="preserve">Company’s </w:t>
      </w:r>
      <w:r w:rsidR="00FD3E1B">
        <w:rPr>
          <w:rFonts w:asciiTheme="minorHAnsi" w:eastAsiaTheme="minorHAnsi" w:hAnsiTheme="minorHAnsi" w:cstheme="minorHAnsi"/>
          <w:szCs w:val="22"/>
        </w:rPr>
        <w:t>NAV as at 3</w:t>
      </w:r>
      <w:r w:rsidR="003D5299">
        <w:rPr>
          <w:rFonts w:asciiTheme="minorHAnsi" w:eastAsiaTheme="minorHAnsi" w:hAnsiTheme="minorHAnsi" w:cstheme="minorHAnsi"/>
          <w:szCs w:val="22"/>
        </w:rPr>
        <w:t>0</w:t>
      </w:r>
      <w:r w:rsidR="00FD3E1B">
        <w:rPr>
          <w:rFonts w:asciiTheme="minorHAnsi" w:eastAsiaTheme="minorHAnsi" w:hAnsiTheme="minorHAnsi" w:cstheme="minorHAnsi"/>
          <w:szCs w:val="22"/>
        </w:rPr>
        <w:t xml:space="preserve"> </w:t>
      </w:r>
      <w:r w:rsidR="003D5299">
        <w:rPr>
          <w:rFonts w:asciiTheme="minorHAnsi" w:eastAsiaTheme="minorHAnsi" w:hAnsiTheme="minorHAnsi" w:cstheme="minorHAnsi"/>
          <w:szCs w:val="22"/>
        </w:rPr>
        <w:t>June</w:t>
      </w:r>
      <w:r w:rsidR="00FD3E1B">
        <w:rPr>
          <w:rFonts w:asciiTheme="minorHAnsi" w:eastAsiaTheme="minorHAnsi" w:hAnsiTheme="minorHAnsi" w:cstheme="minorHAnsi"/>
          <w:szCs w:val="22"/>
        </w:rPr>
        <w:t xml:space="preserve"> 202</w:t>
      </w:r>
      <w:r w:rsidR="003D5299">
        <w:rPr>
          <w:rFonts w:asciiTheme="minorHAnsi" w:eastAsiaTheme="minorHAnsi" w:hAnsiTheme="minorHAnsi" w:cstheme="minorHAnsi"/>
          <w:szCs w:val="22"/>
        </w:rPr>
        <w:t>3</w:t>
      </w:r>
      <w:r w:rsidR="00FD3E1B">
        <w:rPr>
          <w:rFonts w:asciiTheme="minorHAnsi" w:eastAsiaTheme="minorHAnsi" w:hAnsiTheme="minorHAnsi" w:cstheme="minorHAnsi"/>
          <w:szCs w:val="22"/>
        </w:rPr>
        <w:t xml:space="preserve">. </w:t>
      </w:r>
    </w:p>
    <w:p w14:paraId="1CC5ADF8" w14:textId="77777777" w:rsidR="00F90B97" w:rsidRDefault="00F90B97" w:rsidP="009C7709">
      <w:pPr>
        <w:pStyle w:val="BodyText1"/>
        <w:spacing w:after="0"/>
        <w:rPr>
          <w:rFonts w:asciiTheme="minorHAnsi" w:eastAsiaTheme="minorHAnsi" w:hAnsiTheme="minorHAnsi" w:cstheme="minorHAnsi"/>
          <w:szCs w:val="22"/>
        </w:rPr>
      </w:pPr>
    </w:p>
    <w:p w14:paraId="0CDE3425" w14:textId="4FE18F27" w:rsidR="00B802C2" w:rsidRDefault="00FF27B6" w:rsidP="009C7709">
      <w:pPr>
        <w:pStyle w:val="BodyText1"/>
        <w:spacing w:after="0"/>
        <w:rPr>
          <w:rFonts w:asciiTheme="minorHAnsi" w:eastAsiaTheme="minorHAnsi" w:hAnsiTheme="minorHAnsi" w:cstheme="minorHAnsi"/>
          <w:szCs w:val="22"/>
        </w:rPr>
      </w:pPr>
      <w:r w:rsidRPr="00FF27B6">
        <w:rPr>
          <w:rFonts w:asciiTheme="minorHAnsi" w:eastAsiaTheme="minorHAnsi" w:hAnsiTheme="minorHAnsi" w:cstheme="minorHAnsi"/>
          <w:szCs w:val="22"/>
        </w:rPr>
        <w:t>The Loan Note</w:t>
      </w:r>
      <w:r w:rsidR="00F90B97">
        <w:rPr>
          <w:rFonts w:asciiTheme="minorHAnsi" w:eastAsiaTheme="minorHAnsi" w:hAnsiTheme="minorHAnsi" w:cstheme="minorHAnsi"/>
          <w:szCs w:val="22"/>
        </w:rPr>
        <w:t>s have been issued</w:t>
      </w:r>
      <w:r w:rsidRPr="00FF27B6">
        <w:rPr>
          <w:rFonts w:asciiTheme="minorHAnsi" w:eastAsiaTheme="minorHAnsi" w:hAnsiTheme="minorHAnsi" w:cstheme="minorHAnsi"/>
          <w:szCs w:val="22"/>
        </w:rPr>
        <w:t xml:space="preserve"> </w:t>
      </w:r>
      <w:r w:rsidR="00B802C2">
        <w:rPr>
          <w:rFonts w:asciiTheme="minorHAnsi" w:eastAsiaTheme="minorHAnsi" w:hAnsiTheme="minorHAnsi" w:cstheme="minorHAnsi"/>
          <w:szCs w:val="22"/>
        </w:rPr>
        <w:t xml:space="preserve">on </w:t>
      </w:r>
      <w:r w:rsidR="00B802C2" w:rsidRPr="00FF27B6">
        <w:rPr>
          <w:rFonts w:asciiTheme="minorHAnsi" w:eastAsiaTheme="minorHAnsi" w:hAnsiTheme="minorHAnsi" w:cstheme="minorHAnsi"/>
          <w:szCs w:val="22"/>
        </w:rPr>
        <w:t xml:space="preserve">the same terms as </w:t>
      </w:r>
      <w:r w:rsidR="00B802C2">
        <w:rPr>
          <w:rFonts w:asciiTheme="minorHAnsi" w:eastAsiaTheme="minorHAnsi" w:hAnsiTheme="minorHAnsi" w:cstheme="minorHAnsi"/>
          <w:szCs w:val="22"/>
        </w:rPr>
        <w:t xml:space="preserve">the Loan Notes issued in August 2023 and September 2023 (the “Initial Loan Notes”) The holders of the Initial Loan Notes have agreed to extend the repayment dates on those notes to </w:t>
      </w:r>
      <w:r w:rsidR="00496287">
        <w:rPr>
          <w:rStyle w:val="ak"/>
          <w:rFonts w:asciiTheme="minorHAnsi" w:eastAsia="Arial Unicode MS" w:hAnsiTheme="minorHAnsi" w:cstheme="minorHAnsi"/>
          <w:color w:val="000000"/>
          <w:szCs w:val="22"/>
        </w:rPr>
        <w:t>30 June</w:t>
      </w:r>
      <w:r w:rsidR="00B802C2">
        <w:rPr>
          <w:rStyle w:val="ak"/>
          <w:rFonts w:asciiTheme="minorHAnsi" w:eastAsia="Arial Unicode MS" w:hAnsiTheme="minorHAnsi" w:cstheme="minorHAnsi"/>
          <w:color w:val="000000"/>
          <w:szCs w:val="22"/>
        </w:rPr>
        <w:t xml:space="preserve"> 2024 </w:t>
      </w:r>
      <w:r w:rsidR="00B802C2">
        <w:rPr>
          <w:rFonts w:asciiTheme="minorHAnsi" w:eastAsiaTheme="minorHAnsi" w:hAnsiTheme="minorHAnsi" w:cstheme="minorHAnsi"/>
          <w:szCs w:val="22"/>
        </w:rPr>
        <w:t>and to</w:t>
      </w:r>
      <w:r w:rsidRPr="00FF27B6">
        <w:rPr>
          <w:rFonts w:asciiTheme="minorHAnsi" w:eastAsiaTheme="minorHAnsi" w:hAnsiTheme="minorHAnsi" w:cstheme="minorHAnsi"/>
          <w:szCs w:val="22"/>
        </w:rPr>
        <w:t xml:space="preserve"> waive their rights</w:t>
      </w:r>
      <w:r w:rsidR="006B0CC8">
        <w:rPr>
          <w:rFonts w:asciiTheme="minorHAnsi" w:eastAsiaTheme="minorHAnsi" w:hAnsiTheme="minorHAnsi" w:cstheme="minorHAnsi"/>
          <w:szCs w:val="22"/>
        </w:rPr>
        <w:t xml:space="preserve"> </w:t>
      </w:r>
      <w:r w:rsidRPr="00FF27B6">
        <w:rPr>
          <w:rFonts w:asciiTheme="minorHAnsi" w:eastAsiaTheme="minorHAnsi" w:hAnsiTheme="minorHAnsi" w:cstheme="minorHAnsi"/>
          <w:szCs w:val="22"/>
        </w:rPr>
        <w:t xml:space="preserve">to </w:t>
      </w:r>
      <w:r w:rsidR="00B802C2">
        <w:rPr>
          <w:rFonts w:asciiTheme="minorHAnsi" w:eastAsiaTheme="minorHAnsi" w:hAnsiTheme="minorHAnsi" w:cstheme="minorHAnsi"/>
          <w:szCs w:val="22"/>
        </w:rPr>
        <w:t>either convert the Initial</w:t>
      </w:r>
      <w:r w:rsidR="00127468">
        <w:rPr>
          <w:rFonts w:asciiTheme="minorHAnsi" w:eastAsiaTheme="minorHAnsi" w:hAnsiTheme="minorHAnsi" w:cstheme="minorHAnsi"/>
          <w:szCs w:val="22"/>
        </w:rPr>
        <w:t xml:space="preserve"> </w:t>
      </w:r>
      <w:r w:rsidR="00B802C2">
        <w:rPr>
          <w:rFonts w:asciiTheme="minorHAnsi" w:eastAsiaTheme="minorHAnsi" w:hAnsiTheme="minorHAnsi" w:cstheme="minorHAnsi"/>
          <w:szCs w:val="22"/>
        </w:rPr>
        <w:t>Loan Notes</w:t>
      </w:r>
      <w:r w:rsidR="00127468">
        <w:rPr>
          <w:rFonts w:asciiTheme="minorHAnsi" w:eastAsiaTheme="minorHAnsi" w:hAnsiTheme="minorHAnsi" w:cstheme="minorHAnsi"/>
          <w:szCs w:val="22"/>
        </w:rPr>
        <w:t>,</w:t>
      </w:r>
      <w:r w:rsidR="00B802C2">
        <w:rPr>
          <w:rFonts w:asciiTheme="minorHAnsi" w:eastAsiaTheme="minorHAnsi" w:hAnsiTheme="minorHAnsi" w:cstheme="minorHAnsi"/>
          <w:szCs w:val="22"/>
        </w:rPr>
        <w:t xml:space="preserve"> or to seek </w:t>
      </w:r>
      <w:r w:rsidR="00127468">
        <w:rPr>
          <w:rFonts w:asciiTheme="minorHAnsi" w:eastAsiaTheme="minorHAnsi" w:hAnsiTheme="minorHAnsi" w:cstheme="minorHAnsi"/>
          <w:szCs w:val="22"/>
        </w:rPr>
        <w:t xml:space="preserve">their </w:t>
      </w:r>
      <w:r w:rsidR="00B802C2">
        <w:rPr>
          <w:rFonts w:asciiTheme="minorHAnsi" w:eastAsiaTheme="minorHAnsi" w:hAnsiTheme="minorHAnsi" w:cstheme="minorHAnsi"/>
          <w:szCs w:val="22"/>
        </w:rPr>
        <w:t>repayment</w:t>
      </w:r>
      <w:r w:rsidR="00127468">
        <w:rPr>
          <w:rFonts w:asciiTheme="minorHAnsi" w:eastAsiaTheme="minorHAnsi" w:hAnsiTheme="minorHAnsi" w:cstheme="minorHAnsi"/>
          <w:szCs w:val="22"/>
        </w:rPr>
        <w:t>,</w:t>
      </w:r>
      <w:r w:rsidR="00B802C2">
        <w:rPr>
          <w:rFonts w:asciiTheme="minorHAnsi" w:eastAsiaTheme="minorHAnsi" w:hAnsiTheme="minorHAnsi" w:cstheme="minorHAnsi"/>
          <w:szCs w:val="22"/>
        </w:rPr>
        <w:t xml:space="preserve"> on completion of the </w:t>
      </w:r>
      <w:r w:rsidR="00C60A6A">
        <w:rPr>
          <w:rFonts w:asciiTheme="minorHAnsi" w:eastAsiaTheme="minorHAnsi" w:hAnsiTheme="minorHAnsi" w:cstheme="minorHAnsi"/>
          <w:szCs w:val="22"/>
        </w:rPr>
        <w:t>Placing</w:t>
      </w:r>
      <w:r w:rsidR="00B802C2">
        <w:rPr>
          <w:rFonts w:asciiTheme="minorHAnsi" w:eastAsiaTheme="minorHAnsi" w:hAnsiTheme="minorHAnsi" w:cstheme="minorHAnsi"/>
          <w:szCs w:val="22"/>
        </w:rPr>
        <w:t>.</w:t>
      </w:r>
    </w:p>
    <w:p w14:paraId="531AF5CB" w14:textId="77777777" w:rsidR="00F90B97" w:rsidRDefault="00F90B97" w:rsidP="00F90B97">
      <w:pPr>
        <w:pStyle w:val="BodyText1"/>
        <w:spacing w:after="0"/>
        <w:rPr>
          <w:rFonts w:asciiTheme="minorHAnsi" w:eastAsiaTheme="minorHAnsi" w:hAnsiTheme="minorHAnsi" w:cstheme="minorHAnsi"/>
          <w:szCs w:val="22"/>
        </w:rPr>
      </w:pPr>
    </w:p>
    <w:p w14:paraId="7D8CC69D" w14:textId="77777777" w:rsidR="00CE418E" w:rsidRDefault="00CE418E" w:rsidP="009C7709">
      <w:pPr>
        <w:pStyle w:val="BodyText1"/>
        <w:spacing w:after="0"/>
        <w:rPr>
          <w:rFonts w:asciiTheme="minorHAnsi" w:eastAsiaTheme="minorHAnsi" w:hAnsiTheme="minorHAnsi" w:cstheme="minorHAnsi"/>
          <w:b/>
          <w:bCs/>
          <w:szCs w:val="22"/>
        </w:rPr>
      </w:pPr>
      <w:r w:rsidRPr="00E10E5F">
        <w:rPr>
          <w:rFonts w:asciiTheme="minorHAnsi" w:eastAsiaTheme="minorHAnsi" w:hAnsiTheme="minorHAnsi" w:cstheme="minorHAnsi"/>
          <w:b/>
          <w:bCs/>
          <w:szCs w:val="22"/>
        </w:rPr>
        <w:t>Acquisition of a majority stake in Littoral Invest EAD</w:t>
      </w:r>
    </w:p>
    <w:p w14:paraId="68421A58" w14:textId="77777777" w:rsidR="00FB1D82" w:rsidRPr="00E10E5F" w:rsidRDefault="00FB1D82" w:rsidP="009C7709">
      <w:pPr>
        <w:pStyle w:val="BodyText1"/>
        <w:spacing w:after="0"/>
        <w:rPr>
          <w:rFonts w:asciiTheme="minorHAnsi" w:eastAsiaTheme="minorHAnsi" w:hAnsiTheme="minorHAnsi" w:cstheme="minorHAnsi"/>
          <w:b/>
          <w:bCs/>
          <w:szCs w:val="22"/>
        </w:rPr>
      </w:pPr>
    </w:p>
    <w:p w14:paraId="585F0DDC" w14:textId="1B3DA0F7" w:rsidR="00F90B97" w:rsidRDefault="00127468" w:rsidP="00F90B97">
      <w:pPr>
        <w:pStyle w:val="BodyText1"/>
        <w:spacing w:after="0"/>
        <w:rPr>
          <w:rFonts w:asciiTheme="minorHAnsi" w:eastAsiaTheme="minorHAnsi" w:hAnsiTheme="minorHAnsi" w:cstheme="minorHAnsi"/>
          <w:szCs w:val="22"/>
        </w:rPr>
      </w:pPr>
      <w:r w:rsidRPr="00E10E5F">
        <w:rPr>
          <w:rFonts w:asciiTheme="minorHAnsi" w:eastAsiaTheme="minorHAnsi" w:hAnsiTheme="minorHAnsi" w:cstheme="minorHAnsi"/>
          <w:szCs w:val="22"/>
        </w:rPr>
        <w:t xml:space="preserve">Black Sea Property </w:t>
      </w:r>
      <w:r w:rsidR="00F90B97">
        <w:rPr>
          <w:rFonts w:asciiTheme="minorHAnsi" w:eastAsiaTheme="minorHAnsi" w:hAnsiTheme="minorHAnsi" w:cstheme="minorHAnsi"/>
          <w:szCs w:val="22"/>
        </w:rPr>
        <w:t xml:space="preserve">is </w:t>
      </w:r>
      <w:r>
        <w:rPr>
          <w:rFonts w:asciiTheme="minorHAnsi" w:eastAsiaTheme="minorHAnsi" w:hAnsiTheme="minorHAnsi" w:cstheme="minorHAnsi"/>
          <w:szCs w:val="22"/>
        </w:rPr>
        <w:t xml:space="preserve">also </w:t>
      </w:r>
      <w:r w:rsidR="00F90B97" w:rsidRPr="001E6242">
        <w:rPr>
          <w:rFonts w:asciiTheme="minorHAnsi" w:eastAsiaTheme="minorHAnsi" w:hAnsiTheme="minorHAnsi" w:cstheme="minorHAnsi"/>
          <w:szCs w:val="22"/>
        </w:rPr>
        <w:t xml:space="preserve">pleased to announce </w:t>
      </w:r>
      <w:r>
        <w:rPr>
          <w:rFonts w:asciiTheme="minorHAnsi" w:eastAsiaTheme="minorHAnsi" w:hAnsiTheme="minorHAnsi" w:cstheme="minorHAnsi"/>
          <w:szCs w:val="22"/>
        </w:rPr>
        <w:t xml:space="preserve">an </w:t>
      </w:r>
      <w:r w:rsidR="00F90B97">
        <w:rPr>
          <w:rFonts w:asciiTheme="minorHAnsi" w:eastAsiaTheme="minorHAnsi" w:hAnsiTheme="minorHAnsi" w:cstheme="minorHAnsi"/>
          <w:szCs w:val="22"/>
        </w:rPr>
        <w:t>investment of EUR 4.5 million in Littoral Invest EAD</w:t>
      </w:r>
      <w:r w:rsidR="00F90B97" w:rsidRPr="001E6242">
        <w:rPr>
          <w:rFonts w:asciiTheme="minorHAnsi" w:eastAsiaTheme="minorHAnsi" w:hAnsiTheme="minorHAnsi" w:cstheme="minorHAnsi"/>
          <w:szCs w:val="22"/>
        </w:rPr>
        <w:t xml:space="preserve"> </w:t>
      </w:r>
      <w:r w:rsidR="00F90B97">
        <w:rPr>
          <w:rFonts w:asciiTheme="minorHAnsi" w:eastAsiaTheme="minorHAnsi" w:hAnsiTheme="minorHAnsi" w:cstheme="minorHAnsi"/>
          <w:szCs w:val="22"/>
        </w:rPr>
        <w:t>(“Littoral Invest</w:t>
      </w:r>
      <w:r>
        <w:rPr>
          <w:rFonts w:asciiTheme="minorHAnsi" w:eastAsiaTheme="minorHAnsi" w:hAnsiTheme="minorHAnsi" w:cstheme="minorHAnsi"/>
          <w:szCs w:val="22"/>
        </w:rPr>
        <w:t>”</w:t>
      </w:r>
      <w:r w:rsidR="00F90B97">
        <w:rPr>
          <w:rFonts w:asciiTheme="minorHAnsi" w:eastAsiaTheme="minorHAnsi" w:hAnsiTheme="minorHAnsi" w:cstheme="minorHAnsi"/>
          <w:szCs w:val="22"/>
        </w:rPr>
        <w:t>)</w:t>
      </w:r>
      <w:r>
        <w:rPr>
          <w:rFonts w:asciiTheme="minorHAnsi" w:eastAsiaTheme="minorHAnsi" w:hAnsiTheme="minorHAnsi" w:cstheme="minorHAnsi"/>
          <w:szCs w:val="22"/>
        </w:rPr>
        <w:t xml:space="preserve">, following which the Company is interested in </w:t>
      </w:r>
      <w:r w:rsidR="00F90B97">
        <w:rPr>
          <w:rFonts w:asciiTheme="minorHAnsi" w:eastAsiaTheme="minorHAnsi" w:hAnsiTheme="minorHAnsi" w:cstheme="minorHAnsi"/>
          <w:szCs w:val="22"/>
        </w:rPr>
        <w:t>99.</w:t>
      </w:r>
      <w:r w:rsidR="00574FC7">
        <w:rPr>
          <w:rFonts w:asciiTheme="minorHAnsi" w:eastAsiaTheme="minorHAnsi" w:hAnsiTheme="minorHAnsi" w:cstheme="minorHAnsi"/>
          <w:szCs w:val="22"/>
        </w:rPr>
        <w:t>4</w:t>
      </w:r>
      <w:r w:rsidR="00F90B97">
        <w:rPr>
          <w:rFonts w:asciiTheme="minorHAnsi" w:eastAsiaTheme="minorHAnsi" w:hAnsiTheme="minorHAnsi" w:cstheme="minorHAnsi"/>
          <w:szCs w:val="22"/>
        </w:rPr>
        <w:t xml:space="preserve">% of </w:t>
      </w:r>
      <w:r>
        <w:rPr>
          <w:rFonts w:asciiTheme="minorHAnsi" w:eastAsiaTheme="minorHAnsi" w:hAnsiTheme="minorHAnsi" w:cstheme="minorHAnsi"/>
          <w:szCs w:val="22"/>
        </w:rPr>
        <w:t xml:space="preserve">Littoral Invest’s </w:t>
      </w:r>
      <w:r w:rsidR="00F90B97">
        <w:rPr>
          <w:rFonts w:asciiTheme="minorHAnsi" w:eastAsiaTheme="minorHAnsi" w:hAnsiTheme="minorHAnsi" w:cstheme="minorHAnsi"/>
          <w:szCs w:val="22"/>
        </w:rPr>
        <w:t xml:space="preserve">enlarged share capital. </w:t>
      </w:r>
    </w:p>
    <w:p w14:paraId="4A895C4D" w14:textId="77777777" w:rsidR="00B802C2" w:rsidRDefault="00B802C2" w:rsidP="00F90B97">
      <w:pPr>
        <w:pStyle w:val="BodyText1"/>
        <w:spacing w:after="0"/>
        <w:rPr>
          <w:rFonts w:asciiTheme="minorHAnsi" w:eastAsiaTheme="minorHAnsi" w:hAnsiTheme="minorHAnsi" w:cstheme="minorHAnsi"/>
          <w:szCs w:val="22"/>
        </w:rPr>
      </w:pPr>
    </w:p>
    <w:p w14:paraId="64727595" w14:textId="13CF55F9" w:rsidR="00127468" w:rsidRDefault="00C340D9" w:rsidP="009C7709">
      <w:pPr>
        <w:pStyle w:val="BodyText1"/>
        <w:spacing w:after="0"/>
        <w:rPr>
          <w:rFonts w:asciiTheme="minorHAnsi" w:eastAsiaTheme="minorHAnsi" w:hAnsiTheme="minorHAnsi" w:cstheme="minorHAnsi"/>
          <w:szCs w:val="22"/>
        </w:rPr>
      </w:pPr>
      <w:r w:rsidRPr="00C340D9">
        <w:rPr>
          <w:rFonts w:asciiTheme="minorHAnsi" w:eastAsiaTheme="minorHAnsi" w:hAnsiTheme="minorHAnsi" w:cstheme="minorHAnsi"/>
          <w:szCs w:val="22"/>
        </w:rPr>
        <w:t>Littoral Invest is the sole owner of Lazuren Bryag 91 EOOD</w:t>
      </w:r>
      <w:r w:rsidR="00F85420">
        <w:rPr>
          <w:rFonts w:asciiTheme="minorHAnsi" w:eastAsiaTheme="minorHAnsi" w:hAnsiTheme="minorHAnsi" w:cstheme="minorHAnsi"/>
          <w:szCs w:val="22"/>
        </w:rPr>
        <w:t>,</w:t>
      </w:r>
      <w:r w:rsidRPr="00C340D9">
        <w:rPr>
          <w:rFonts w:asciiTheme="minorHAnsi" w:eastAsiaTheme="minorHAnsi" w:hAnsiTheme="minorHAnsi" w:cstheme="minorHAnsi"/>
          <w:szCs w:val="22"/>
        </w:rPr>
        <w:t xml:space="preserve"> which </w:t>
      </w:r>
      <w:r w:rsidR="00127468">
        <w:rPr>
          <w:rFonts w:asciiTheme="minorHAnsi" w:eastAsiaTheme="minorHAnsi" w:hAnsiTheme="minorHAnsi" w:cstheme="minorHAnsi"/>
          <w:szCs w:val="22"/>
        </w:rPr>
        <w:t xml:space="preserve">owns </w:t>
      </w:r>
      <w:r w:rsidR="00CE418E">
        <w:rPr>
          <w:rFonts w:asciiTheme="minorHAnsi" w:eastAsiaTheme="minorHAnsi" w:hAnsiTheme="minorHAnsi" w:cstheme="minorHAnsi"/>
          <w:szCs w:val="22"/>
        </w:rPr>
        <w:t xml:space="preserve">a number of </w:t>
      </w:r>
      <w:r w:rsidRPr="00C340D9">
        <w:rPr>
          <w:rFonts w:asciiTheme="minorHAnsi" w:eastAsiaTheme="minorHAnsi" w:hAnsiTheme="minorHAnsi" w:cstheme="minorHAnsi"/>
          <w:szCs w:val="22"/>
        </w:rPr>
        <w:t xml:space="preserve">prime assets in Varna, </w:t>
      </w:r>
      <w:r w:rsidR="00F85420">
        <w:rPr>
          <w:rFonts w:asciiTheme="minorHAnsi" w:eastAsiaTheme="minorHAnsi" w:hAnsiTheme="minorHAnsi" w:cstheme="minorHAnsi"/>
          <w:szCs w:val="22"/>
        </w:rPr>
        <w:t>including</w:t>
      </w:r>
      <w:r w:rsidRPr="00C340D9">
        <w:rPr>
          <w:rFonts w:asciiTheme="minorHAnsi" w:eastAsiaTheme="minorHAnsi" w:hAnsiTheme="minorHAnsi" w:cstheme="minorHAnsi"/>
          <w:szCs w:val="22"/>
        </w:rPr>
        <w:t xml:space="preserve"> beachfront</w:t>
      </w:r>
      <w:r w:rsidR="00F85420">
        <w:rPr>
          <w:rFonts w:asciiTheme="minorHAnsi" w:eastAsiaTheme="minorHAnsi" w:hAnsiTheme="minorHAnsi" w:cstheme="minorHAnsi"/>
          <w:szCs w:val="22"/>
        </w:rPr>
        <w:t xml:space="preserve"> properties</w:t>
      </w:r>
      <w:r w:rsidR="006C4BED">
        <w:rPr>
          <w:rFonts w:asciiTheme="minorHAnsi" w:eastAsiaTheme="minorHAnsi" w:hAnsiTheme="minorHAnsi" w:cstheme="minorHAnsi"/>
          <w:szCs w:val="22"/>
        </w:rPr>
        <w:t xml:space="preserve"> and</w:t>
      </w:r>
      <w:r w:rsidRPr="00C340D9">
        <w:rPr>
          <w:rFonts w:asciiTheme="minorHAnsi" w:eastAsiaTheme="minorHAnsi" w:hAnsiTheme="minorHAnsi" w:cstheme="minorHAnsi"/>
          <w:szCs w:val="22"/>
        </w:rPr>
        <w:t xml:space="preserve"> cultural monuments. </w:t>
      </w:r>
      <w:r w:rsidR="00F85420">
        <w:rPr>
          <w:rFonts w:asciiTheme="minorHAnsi" w:eastAsiaTheme="minorHAnsi" w:hAnsiTheme="minorHAnsi" w:cstheme="minorHAnsi"/>
          <w:szCs w:val="22"/>
        </w:rPr>
        <w:t xml:space="preserve">The property assests of </w:t>
      </w:r>
      <w:r w:rsidRPr="00C340D9">
        <w:rPr>
          <w:rFonts w:asciiTheme="minorHAnsi" w:eastAsiaTheme="minorHAnsi" w:hAnsiTheme="minorHAnsi" w:cstheme="minorHAnsi"/>
          <w:szCs w:val="22"/>
        </w:rPr>
        <w:t xml:space="preserve">Littoral Invest have been independently valued at EUR 6.071 million. Littoral Invest </w:t>
      </w:r>
      <w:r w:rsidR="00F85420">
        <w:rPr>
          <w:rFonts w:asciiTheme="minorHAnsi" w:eastAsiaTheme="minorHAnsi" w:hAnsiTheme="minorHAnsi" w:cstheme="minorHAnsi"/>
          <w:szCs w:val="22"/>
        </w:rPr>
        <w:t>has total liabilities</w:t>
      </w:r>
      <w:r w:rsidRPr="00C340D9">
        <w:rPr>
          <w:rFonts w:asciiTheme="minorHAnsi" w:eastAsiaTheme="minorHAnsi" w:hAnsiTheme="minorHAnsi" w:cstheme="minorHAnsi"/>
          <w:szCs w:val="22"/>
        </w:rPr>
        <w:t xml:space="preserve"> amount</w:t>
      </w:r>
      <w:r w:rsidR="00E1668F">
        <w:rPr>
          <w:rFonts w:asciiTheme="minorHAnsi" w:eastAsiaTheme="minorHAnsi" w:hAnsiTheme="minorHAnsi" w:cstheme="minorHAnsi"/>
          <w:szCs w:val="22"/>
        </w:rPr>
        <w:t>ing</w:t>
      </w:r>
      <w:r w:rsidRPr="00C340D9">
        <w:rPr>
          <w:rFonts w:asciiTheme="minorHAnsi" w:eastAsiaTheme="minorHAnsi" w:hAnsiTheme="minorHAnsi" w:cstheme="minorHAnsi"/>
          <w:szCs w:val="22"/>
        </w:rPr>
        <w:t xml:space="preserve"> to EUR 5.170 million.</w:t>
      </w:r>
      <w:r w:rsidR="00127468" w:rsidRPr="00127468">
        <w:rPr>
          <w:rFonts w:asciiTheme="minorHAnsi" w:eastAsiaTheme="minorHAnsi" w:hAnsiTheme="minorHAnsi" w:cstheme="minorHAnsi"/>
          <w:szCs w:val="22"/>
        </w:rPr>
        <w:t xml:space="preserve"> </w:t>
      </w:r>
    </w:p>
    <w:p w14:paraId="405B7977" w14:textId="77777777" w:rsidR="00127468" w:rsidRDefault="00127468" w:rsidP="009C7709">
      <w:pPr>
        <w:pStyle w:val="BodyText1"/>
        <w:spacing w:after="0"/>
        <w:rPr>
          <w:rFonts w:asciiTheme="minorHAnsi" w:eastAsiaTheme="minorHAnsi" w:hAnsiTheme="minorHAnsi" w:cstheme="minorHAnsi"/>
          <w:szCs w:val="22"/>
        </w:rPr>
      </w:pPr>
    </w:p>
    <w:p w14:paraId="062F209D" w14:textId="1FB13F5A" w:rsidR="00C340D9" w:rsidRDefault="00127468" w:rsidP="009C7709">
      <w:pPr>
        <w:pStyle w:val="BodyText1"/>
        <w:spacing w:after="0"/>
        <w:rPr>
          <w:rFonts w:asciiTheme="minorHAnsi" w:eastAsiaTheme="minorHAnsi" w:hAnsiTheme="minorHAnsi" w:cstheme="minorHAnsi"/>
          <w:szCs w:val="22"/>
        </w:rPr>
      </w:pPr>
      <w:r>
        <w:rPr>
          <w:rFonts w:asciiTheme="minorHAnsi" w:eastAsiaTheme="minorHAnsi" w:hAnsiTheme="minorHAnsi" w:cstheme="minorHAnsi"/>
          <w:szCs w:val="22"/>
        </w:rPr>
        <w:t>The funds invested in Littoral Invest were utilised to acquire</w:t>
      </w:r>
      <w:r w:rsidR="00C60A6A">
        <w:rPr>
          <w:rFonts w:asciiTheme="minorHAnsi" w:eastAsiaTheme="minorHAnsi" w:hAnsiTheme="minorHAnsi" w:cstheme="minorHAnsi"/>
          <w:szCs w:val="22"/>
        </w:rPr>
        <w:t xml:space="preserve"> a</w:t>
      </w:r>
      <w:r>
        <w:rPr>
          <w:rFonts w:asciiTheme="minorHAnsi" w:eastAsiaTheme="minorHAnsi" w:hAnsiTheme="minorHAnsi" w:cstheme="minorHAnsi"/>
          <w:szCs w:val="22"/>
        </w:rPr>
        <w:t xml:space="preserve"> 1</w:t>
      </w:r>
      <w:r w:rsidR="002E7476">
        <w:rPr>
          <w:rFonts w:asciiTheme="minorHAnsi" w:eastAsiaTheme="minorHAnsi" w:hAnsiTheme="minorHAnsi" w:cstheme="minorHAnsi"/>
          <w:szCs w:val="22"/>
        </w:rPr>
        <w:t>6</w:t>
      </w:r>
      <w:r>
        <w:rPr>
          <w:rFonts w:asciiTheme="minorHAnsi" w:eastAsiaTheme="minorHAnsi" w:hAnsiTheme="minorHAnsi" w:cstheme="minorHAnsi"/>
          <w:szCs w:val="22"/>
        </w:rPr>
        <w:t>.</w:t>
      </w:r>
      <w:r w:rsidR="002E7476">
        <w:rPr>
          <w:rFonts w:asciiTheme="minorHAnsi" w:eastAsiaTheme="minorHAnsi" w:hAnsiTheme="minorHAnsi" w:cstheme="minorHAnsi"/>
          <w:szCs w:val="22"/>
        </w:rPr>
        <w:t>23</w:t>
      </w:r>
      <w:r>
        <w:rPr>
          <w:rFonts w:asciiTheme="minorHAnsi" w:eastAsiaTheme="minorHAnsi" w:hAnsiTheme="minorHAnsi" w:cstheme="minorHAnsi"/>
          <w:szCs w:val="22"/>
        </w:rPr>
        <w:t>% stake in Grand Hotel Varna AD</w:t>
      </w:r>
      <w:r w:rsidR="00EB16D1">
        <w:rPr>
          <w:rFonts w:asciiTheme="minorHAnsi" w:eastAsiaTheme="minorHAnsi" w:hAnsiTheme="minorHAnsi" w:cstheme="minorHAnsi"/>
          <w:szCs w:val="22"/>
        </w:rPr>
        <w:t xml:space="preserve"> alongside Black Sea Property</w:t>
      </w:r>
      <w:r>
        <w:rPr>
          <w:rFonts w:asciiTheme="minorHAnsi" w:eastAsiaTheme="minorHAnsi" w:hAnsiTheme="minorHAnsi" w:cstheme="minorHAnsi"/>
          <w:szCs w:val="22"/>
        </w:rPr>
        <w:t xml:space="preserve">. </w:t>
      </w:r>
    </w:p>
    <w:p w14:paraId="5EC1D709" w14:textId="77777777" w:rsidR="00C340D9" w:rsidRDefault="00C340D9" w:rsidP="009C7709">
      <w:pPr>
        <w:pStyle w:val="BodyText1"/>
        <w:spacing w:after="0"/>
        <w:rPr>
          <w:rFonts w:asciiTheme="minorHAnsi" w:eastAsiaTheme="minorHAnsi" w:hAnsiTheme="minorHAnsi" w:cstheme="minorHAnsi"/>
          <w:szCs w:val="22"/>
        </w:rPr>
      </w:pPr>
    </w:p>
    <w:p w14:paraId="350CB7E5" w14:textId="501FEB49" w:rsidR="00364963" w:rsidRPr="001E6242" w:rsidRDefault="00FF27B6" w:rsidP="000303A0">
      <w:pPr>
        <w:pStyle w:val="BodyText1"/>
        <w:spacing w:after="0"/>
        <w:rPr>
          <w:rFonts w:asciiTheme="minorHAnsi" w:eastAsiaTheme="minorHAnsi" w:hAnsiTheme="minorHAnsi" w:cstheme="minorHAnsi"/>
          <w:szCs w:val="22"/>
        </w:rPr>
      </w:pPr>
      <w:r w:rsidRPr="00FF27B6">
        <w:rPr>
          <w:rFonts w:asciiTheme="minorHAnsi" w:eastAsiaTheme="minorHAnsi" w:hAnsiTheme="minorHAnsi" w:cstheme="minorHAnsi"/>
          <w:szCs w:val="22"/>
        </w:rPr>
        <w:t xml:space="preserve">The </w:t>
      </w:r>
      <w:r w:rsidR="00E1668F">
        <w:rPr>
          <w:rFonts w:asciiTheme="minorHAnsi" w:eastAsiaTheme="minorHAnsi" w:hAnsiTheme="minorHAnsi" w:cstheme="minorHAnsi"/>
          <w:szCs w:val="22"/>
        </w:rPr>
        <w:t>total consideration paid</w:t>
      </w:r>
      <w:r w:rsidRPr="00FF27B6">
        <w:rPr>
          <w:rFonts w:asciiTheme="minorHAnsi" w:eastAsiaTheme="minorHAnsi" w:hAnsiTheme="minorHAnsi" w:cstheme="minorHAnsi"/>
          <w:szCs w:val="22"/>
        </w:rPr>
        <w:t xml:space="preserve"> for Grand Hotel Varna was EUR 28</w:t>
      </w:r>
      <w:r w:rsidR="00EB16D1">
        <w:rPr>
          <w:rFonts w:asciiTheme="minorHAnsi" w:eastAsiaTheme="minorHAnsi" w:hAnsiTheme="minorHAnsi" w:cstheme="minorHAnsi"/>
          <w:szCs w:val="22"/>
        </w:rPr>
        <w:t>.05 million. Black Sea Property</w:t>
      </w:r>
      <w:r w:rsidR="00A41430" w:rsidRPr="00A41430">
        <w:rPr>
          <w:rFonts w:asciiTheme="minorHAnsi" w:eastAsiaTheme="minorHAnsi" w:hAnsiTheme="minorHAnsi" w:cstheme="minorHAnsi"/>
          <w:szCs w:val="22"/>
        </w:rPr>
        <w:t xml:space="preserve"> and Littoral Invest now </w:t>
      </w:r>
      <w:r w:rsidR="00EB16D1">
        <w:rPr>
          <w:rFonts w:asciiTheme="minorHAnsi" w:eastAsiaTheme="minorHAnsi" w:hAnsiTheme="minorHAnsi" w:cstheme="minorHAnsi"/>
          <w:szCs w:val="22"/>
        </w:rPr>
        <w:t xml:space="preserve">jointly </w:t>
      </w:r>
      <w:r w:rsidR="00A41430" w:rsidRPr="00A41430">
        <w:rPr>
          <w:rFonts w:asciiTheme="minorHAnsi" w:eastAsiaTheme="minorHAnsi" w:hAnsiTheme="minorHAnsi" w:cstheme="minorHAnsi"/>
          <w:szCs w:val="22"/>
        </w:rPr>
        <w:t>own 98.27% of Grand Hotel Varna AD.</w:t>
      </w:r>
      <w:r w:rsidR="00EB16D1">
        <w:rPr>
          <w:rFonts w:asciiTheme="minorHAnsi" w:eastAsiaTheme="minorHAnsi" w:hAnsiTheme="minorHAnsi" w:cstheme="minorHAnsi"/>
          <w:szCs w:val="22"/>
        </w:rPr>
        <w:t xml:space="preserve"> The Company has raised a total of EUR</w:t>
      </w:r>
      <w:r w:rsidR="00797B73">
        <w:rPr>
          <w:rStyle w:val="ak"/>
          <w:rFonts w:asciiTheme="minorHAnsi" w:eastAsia="Arial Unicode MS" w:hAnsiTheme="minorHAnsi" w:cstheme="minorHAnsi"/>
          <w:color w:val="000000"/>
          <w:szCs w:val="22"/>
        </w:rPr>
        <w:t xml:space="preserve"> 33.1</w:t>
      </w:r>
      <w:r w:rsidR="00EB16D1">
        <w:rPr>
          <w:rStyle w:val="ak"/>
          <w:rFonts w:asciiTheme="minorHAnsi" w:eastAsia="Arial Unicode MS" w:hAnsiTheme="minorHAnsi" w:cstheme="minorHAnsi"/>
          <w:color w:val="000000"/>
          <w:szCs w:val="22"/>
        </w:rPr>
        <w:t xml:space="preserve"> million in connection with the acquisition of Grand Hotel Varna since July 2023.</w:t>
      </w:r>
    </w:p>
    <w:p w14:paraId="7FAEC2BA" w14:textId="77777777" w:rsidR="003E49F0" w:rsidRDefault="003E49F0" w:rsidP="009E0C8B">
      <w:pPr>
        <w:pStyle w:val="BodyText1"/>
        <w:spacing w:after="0"/>
        <w:rPr>
          <w:rFonts w:asciiTheme="minorHAnsi" w:eastAsiaTheme="minorHAnsi" w:hAnsiTheme="minorHAnsi" w:cstheme="minorHAnsi"/>
          <w:szCs w:val="22"/>
        </w:rPr>
      </w:pPr>
    </w:p>
    <w:p w14:paraId="4AABBF4F" w14:textId="0D992687" w:rsidR="005276DE" w:rsidRDefault="000D6D7F" w:rsidP="005276DE">
      <w:pPr>
        <w:spacing w:after="0"/>
        <w:jc w:val="both"/>
        <w:rPr>
          <w:rFonts w:cstheme="minorHAnsi"/>
        </w:rPr>
      </w:pPr>
      <w:r w:rsidRPr="001E6242">
        <w:rPr>
          <w:rFonts w:cstheme="minorHAnsi"/>
        </w:rPr>
        <w:lastRenderedPageBreak/>
        <w:t>Simon Hudd</w:t>
      </w:r>
      <w:r w:rsidR="00AA5B8B" w:rsidRPr="001E6242">
        <w:rPr>
          <w:rFonts w:cstheme="minorHAnsi"/>
        </w:rPr>
        <w:t xml:space="preserve">, </w:t>
      </w:r>
      <w:r w:rsidRPr="001E6242">
        <w:rPr>
          <w:rFonts w:cstheme="minorHAnsi"/>
        </w:rPr>
        <w:t>Chairman</w:t>
      </w:r>
      <w:r w:rsidR="002846E7" w:rsidRPr="001E6242">
        <w:rPr>
          <w:rFonts w:cstheme="minorHAnsi"/>
        </w:rPr>
        <w:t xml:space="preserve"> of</w:t>
      </w:r>
      <w:r w:rsidR="00AA5B8B" w:rsidRPr="001E6242">
        <w:rPr>
          <w:rFonts w:cstheme="minorHAnsi"/>
        </w:rPr>
        <w:t xml:space="preserve"> Black Sea Property, stated, </w:t>
      </w:r>
      <w:r w:rsidR="00390E54" w:rsidRPr="001E6242">
        <w:rPr>
          <w:rFonts w:cstheme="minorHAnsi"/>
        </w:rPr>
        <w:t>“</w:t>
      </w:r>
      <w:r w:rsidR="00A65A9E" w:rsidRPr="001E6242">
        <w:rPr>
          <w:rFonts w:cstheme="minorHAnsi"/>
        </w:rPr>
        <w:t xml:space="preserve">We are delighted to have </w:t>
      </w:r>
      <w:r w:rsidR="00A41430">
        <w:rPr>
          <w:rFonts w:cstheme="minorHAnsi"/>
        </w:rPr>
        <w:t xml:space="preserve">acquired </w:t>
      </w:r>
      <w:r w:rsidR="00383643">
        <w:rPr>
          <w:rFonts w:cstheme="minorHAnsi"/>
        </w:rPr>
        <w:t xml:space="preserve">these high quality assets </w:t>
      </w:r>
      <w:r w:rsidR="00B90C57">
        <w:rPr>
          <w:rFonts w:cstheme="minorHAnsi"/>
        </w:rPr>
        <w:t xml:space="preserve">in Varna, which </w:t>
      </w:r>
      <w:r w:rsidR="00A41430">
        <w:rPr>
          <w:rFonts w:cstheme="minorHAnsi"/>
        </w:rPr>
        <w:t>significantly expands</w:t>
      </w:r>
      <w:r w:rsidR="00B90C57">
        <w:rPr>
          <w:rFonts w:cstheme="minorHAnsi"/>
        </w:rPr>
        <w:t xml:space="preserve"> BSP’s presence on the </w:t>
      </w:r>
      <w:r w:rsidR="00A65A9E" w:rsidRPr="001E6242">
        <w:rPr>
          <w:rFonts w:cstheme="minorHAnsi"/>
        </w:rPr>
        <w:t>Black Sea</w:t>
      </w:r>
      <w:r w:rsidR="00AD56F0">
        <w:rPr>
          <w:rFonts w:cstheme="minorHAnsi"/>
          <w:lang w:val="bg-BG"/>
        </w:rPr>
        <w:t xml:space="preserve"> </w:t>
      </w:r>
      <w:r w:rsidR="00AD56F0">
        <w:rPr>
          <w:rFonts w:cstheme="minorHAnsi"/>
          <w:lang w:val="en-US"/>
        </w:rPr>
        <w:t>Coast</w:t>
      </w:r>
      <w:r w:rsidR="00A65A9E" w:rsidRPr="001E6242">
        <w:rPr>
          <w:rFonts w:cstheme="minorHAnsi"/>
        </w:rPr>
        <w:t xml:space="preserve">. </w:t>
      </w:r>
      <w:r w:rsidR="00FB1D82">
        <w:rPr>
          <w:rFonts w:cstheme="minorHAnsi"/>
        </w:rPr>
        <w:t>W</w:t>
      </w:r>
      <w:r w:rsidR="001F1A51">
        <w:rPr>
          <w:rFonts w:cstheme="minorHAnsi"/>
        </w:rPr>
        <w:t xml:space="preserve">e are </w:t>
      </w:r>
      <w:r w:rsidR="00EB16D1">
        <w:rPr>
          <w:rFonts w:cstheme="minorHAnsi"/>
        </w:rPr>
        <w:t xml:space="preserve">also </w:t>
      </w:r>
      <w:r w:rsidR="001F1A51">
        <w:rPr>
          <w:rFonts w:cstheme="minorHAnsi"/>
        </w:rPr>
        <w:t>proud t</w:t>
      </w:r>
      <w:r w:rsidR="00163760">
        <w:rPr>
          <w:rFonts w:cstheme="minorHAnsi"/>
        </w:rPr>
        <w:t xml:space="preserve">o </w:t>
      </w:r>
      <w:r w:rsidR="00383643">
        <w:rPr>
          <w:rFonts w:cstheme="minorHAnsi"/>
        </w:rPr>
        <w:t>have received such strong fundraising support from new and existing investors</w:t>
      </w:r>
      <w:r w:rsidR="00A65A9E" w:rsidRPr="001E6242">
        <w:rPr>
          <w:rFonts w:cstheme="minorHAnsi"/>
        </w:rPr>
        <w:t>."</w:t>
      </w:r>
    </w:p>
    <w:p w14:paraId="2B0316CA" w14:textId="77777777" w:rsidR="00053B4A" w:rsidRDefault="00053B4A" w:rsidP="005276DE">
      <w:pPr>
        <w:spacing w:after="0"/>
        <w:jc w:val="both"/>
        <w:rPr>
          <w:rFonts w:cstheme="minorHAnsi"/>
        </w:rPr>
      </w:pPr>
    </w:p>
    <w:p w14:paraId="2666A912" w14:textId="3EB34DE4" w:rsidR="00307220" w:rsidRDefault="00383643" w:rsidP="005276DE">
      <w:pPr>
        <w:spacing w:after="0"/>
        <w:jc w:val="both"/>
        <w:rPr>
          <w:rFonts w:cstheme="minorHAnsi"/>
          <w:b/>
          <w:bCs/>
        </w:rPr>
      </w:pPr>
      <w:r w:rsidRPr="00E10E5F">
        <w:rPr>
          <w:rFonts w:cstheme="minorHAnsi"/>
          <w:b/>
          <w:bCs/>
        </w:rPr>
        <w:t>Application for Admission</w:t>
      </w:r>
      <w:r w:rsidR="00CE418E">
        <w:rPr>
          <w:rFonts w:cstheme="minorHAnsi"/>
          <w:b/>
          <w:bCs/>
        </w:rPr>
        <w:t xml:space="preserve">, </w:t>
      </w:r>
      <w:r w:rsidR="00307220" w:rsidRPr="00E10E5F">
        <w:rPr>
          <w:rFonts w:cstheme="minorHAnsi"/>
          <w:b/>
          <w:bCs/>
        </w:rPr>
        <w:t>Total Voting Rights</w:t>
      </w:r>
      <w:r w:rsidR="00CE418E">
        <w:rPr>
          <w:rFonts w:cstheme="minorHAnsi"/>
          <w:b/>
          <w:bCs/>
        </w:rPr>
        <w:t xml:space="preserve"> and Holding in Company</w:t>
      </w:r>
    </w:p>
    <w:p w14:paraId="77A3F8C9" w14:textId="77777777" w:rsidR="00FB1D82" w:rsidRPr="00E10E5F" w:rsidRDefault="00FB1D82" w:rsidP="005276DE">
      <w:pPr>
        <w:spacing w:after="0"/>
        <w:jc w:val="both"/>
        <w:rPr>
          <w:rFonts w:cstheme="minorHAnsi"/>
          <w:b/>
          <w:bCs/>
        </w:rPr>
      </w:pPr>
    </w:p>
    <w:p w14:paraId="17814CDB" w14:textId="6DD819B0" w:rsidR="00383643" w:rsidRDefault="00383643" w:rsidP="00383643">
      <w:pPr>
        <w:pStyle w:val="BodyText1"/>
        <w:spacing w:after="0"/>
        <w:rPr>
          <w:rFonts w:asciiTheme="minorHAnsi" w:eastAsiaTheme="minorHAnsi" w:hAnsiTheme="minorHAnsi" w:cstheme="minorHAnsi"/>
          <w:szCs w:val="22"/>
        </w:rPr>
      </w:pPr>
      <w:r>
        <w:rPr>
          <w:rFonts w:asciiTheme="minorHAnsi" w:eastAsiaTheme="minorHAnsi" w:hAnsiTheme="minorHAnsi" w:cstheme="minorHAnsi"/>
          <w:szCs w:val="22"/>
        </w:rPr>
        <w:t>A</w:t>
      </w:r>
      <w:r w:rsidRPr="005D667B">
        <w:rPr>
          <w:rFonts w:asciiTheme="minorHAnsi" w:eastAsiaTheme="minorHAnsi" w:hAnsiTheme="minorHAnsi" w:cstheme="minorHAnsi"/>
          <w:szCs w:val="22"/>
        </w:rPr>
        <w:t xml:space="preserve">pplication </w:t>
      </w:r>
      <w:r>
        <w:rPr>
          <w:rFonts w:asciiTheme="minorHAnsi" w:eastAsiaTheme="minorHAnsi" w:hAnsiTheme="minorHAnsi" w:cstheme="minorHAnsi"/>
          <w:szCs w:val="22"/>
        </w:rPr>
        <w:t>will be</w:t>
      </w:r>
      <w:r w:rsidRPr="005D667B">
        <w:rPr>
          <w:rFonts w:asciiTheme="minorHAnsi" w:eastAsiaTheme="minorHAnsi" w:hAnsiTheme="minorHAnsi" w:cstheme="minorHAnsi"/>
          <w:szCs w:val="22"/>
        </w:rPr>
        <w:t xml:space="preserve"> made for</w:t>
      </w:r>
      <w:r>
        <w:rPr>
          <w:rFonts w:asciiTheme="minorHAnsi" w:eastAsiaTheme="minorHAnsi" w:hAnsiTheme="minorHAnsi" w:cstheme="minorHAnsi"/>
          <w:szCs w:val="22"/>
        </w:rPr>
        <w:t xml:space="preserve"> the</w:t>
      </w:r>
      <w:r w:rsidRPr="005D667B">
        <w:rPr>
          <w:rFonts w:asciiTheme="minorHAnsi" w:eastAsiaTheme="minorHAnsi" w:hAnsiTheme="minorHAnsi" w:cstheme="minorHAnsi"/>
          <w:szCs w:val="22"/>
        </w:rPr>
        <w:t xml:space="preserve"> 645,000,000 </w:t>
      </w:r>
      <w:r>
        <w:rPr>
          <w:rFonts w:asciiTheme="minorHAnsi" w:eastAsiaTheme="minorHAnsi" w:hAnsiTheme="minorHAnsi" w:cstheme="minorHAnsi"/>
          <w:szCs w:val="22"/>
        </w:rPr>
        <w:t>Placing Shares</w:t>
      </w:r>
      <w:r w:rsidRPr="005D667B">
        <w:rPr>
          <w:rFonts w:asciiTheme="minorHAnsi" w:eastAsiaTheme="minorHAnsi" w:hAnsiTheme="minorHAnsi" w:cstheme="minorHAnsi"/>
          <w:szCs w:val="22"/>
        </w:rPr>
        <w:t xml:space="preserve"> to be admitted to trading on the Aquis Stock Exchange Growth Market</w:t>
      </w:r>
      <w:r>
        <w:rPr>
          <w:rFonts w:asciiTheme="minorHAnsi" w:eastAsiaTheme="minorHAnsi" w:hAnsiTheme="minorHAnsi" w:cstheme="minorHAnsi"/>
          <w:szCs w:val="22"/>
        </w:rPr>
        <w:t xml:space="preserve"> </w:t>
      </w:r>
      <w:r w:rsidRPr="005D667B">
        <w:rPr>
          <w:rFonts w:asciiTheme="minorHAnsi" w:eastAsiaTheme="minorHAnsi" w:hAnsiTheme="minorHAnsi" w:cstheme="minorHAnsi"/>
          <w:szCs w:val="22"/>
        </w:rPr>
        <w:t>(“Admission”)</w:t>
      </w:r>
      <w:r>
        <w:rPr>
          <w:rFonts w:asciiTheme="minorHAnsi" w:eastAsiaTheme="minorHAnsi" w:hAnsiTheme="minorHAnsi" w:cstheme="minorHAnsi"/>
          <w:szCs w:val="22"/>
        </w:rPr>
        <w:t>.</w:t>
      </w:r>
      <w:r w:rsidRPr="005D667B">
        <w:rPr>
          <w:rFonts w:asciiTheme="minorHAnsi" w:eastAsiaTheme="minorHAnsi" w:hAnsiTheme="minorHAnsi" w:cstheme="minorHAnsi"/>
          <w:szCs w:val="22"/>
        </w:rPr>
        <w:t xml:space="preserve"> </w:t>
      </w:r>
      <w:r>
        <w:rPr>
          <w:rFonts w:asciiTheme="minorHAnsi" w:eastAsiaTheme="minorHAnsi" w:hAnsiTheme="minorHAnsi" w:cstheme="minorHAnsi"/>
          <w:szCs w:val="22"/>
        </w:rPr>
        <w:t xml:space="preserve">Admission is expected to become effective on </w:t>
      </w:r>
      <w:r w:rsidRPr="005D667B">
        <w:rPr>
          <w:rFonts w:asciiTheme="minorHAnsi" w:eastAsiaTheme="minorHAnsi" w:hAnsiTheme="minorHAnsi" w:cstheme="minorHAnsi"/>
          <w:szCs w:val="22"/>
        </w:rPr>
        <w:t xml:space="preserve">or around </w:t>
      </w:r>
      <w:r w:rsidR="00FF218D">
        <w:rPr>
          <w:rStyle w:val="ak"/>
          <w:rFonts w:asciiTheme="minorHAnsi" w:eastAsia="Arial Unicode MS" w:hAnsiTheme="minorHAnsi" w:cstheme="minorHAnsi"/>
          <w:color w:val="000000"/>
          <w:szCs w:val="22"/>
        </w:rPr>
        <w:t>10</w:t>
      </w:r>
      <w:r w:rsidRPr="000A75E8">
        <w:rPr>
          <w:rStyle w:val="ak"/>
          <w:rFonts w:asciiTheme="minorHAnsi" w:eastAsia="Arial Unicode MS" w:hAnsiTheme="minorHAnsi" w:cstheme="minorHAnsi"/>
          <w:color w:val="000000"/>
          <w:szCs w:val="22"/>
        </w:rPr>
        <w:t xml:space="preserve"> </w:t>
      </w:r>
      <w:r w:rsidRPr="005D667B">
        <w:rPr>
          <w:rFonts w:asciiTheme="minorHAnsi" w:eastAsiaTheme="minorHAnsi" w:hAnsiTheme="minorHAnsi" w:cstheme="minorHAnsi"/>
          <w:szCs w:val="22"/>
        </w:rPr>
        <w:t>November 202</w:t>
      </w:r>
      <w:r w:rsidR="008B6ED5">
        <w:rPr>
          <w:rFonts w:asciiTheme="minorHAnsi" w:eastAsiaTheme="minorHAnsi" w:hAnsiTheme="minorHAnsi" w:cstheme="minorHAnsi"/>
          <w:szCs w:val="22"/>
        </w:rPr>
        <w:t>3</w:t>
      </w:r>
      <w:r w:rsidRPr="005D667B">
        <w:rPr>
          <w:rFonts w:asciiTheme="minorHAnsi" w:eastAsiaTheme="minorHAnsi" w:hAnsiTheme="minorHAnsi" w:cstheme="minorHAnsi"/>
          <w:szCs w:val="22"/>
        </w:rPr>
        <w:t>.</w:t>
      </w:r>
    </w:p>
    <w:p w14:paraId="6099DA4C" w14:textId="77777777" w:rsidR="00307220" w:rsidRDefault="00307220" w:rsidP="005276DE">
      <w:pPr>
        <w:spacing w:after="0"/>
        <w:jc w:val="both"/>
        <w:rPr>
          <w:rFonts w:cstheme="minorHAnsi"/>
        </w:rPr>
      </w:pPr>
    </w:p>
    <w:p w14:paraId="5A3A139F" w14:textId="4767C1EA" w:rsidR="00383643" w:rsidRPr="00121B82" w:rsidRDefault="00053B4A" w:rsidP="00383643">
      <w:pPr>
        <w:spacing w:after="0" w:line="240" w:lineRule="auto"/>
        <w:jc w:val="both"/>
        <w:rPr>
          <w:rFonts w:ascii="Source Sans Pro" w:hAnsi="Source Sans Pro" w:cstheme="minorHAnsi"/>
        </w:rPr>
      </w:pPr>
      <w:r w:rsidRPr="00053B4A">
        <w:rPr>
          <w:rFonts w:cstheme="minorHAnsi"/>
        </w:rPr>
        <w:t xml:space="preserve">On Admission, the Company will have </w:t>
      </w:r>
      <w:r w:rsidR="00FB1D82">
        <w:rPr>
          <w:rFonts w:cstheme="minorHAnsi"/>
        </w:rPr>
        <w:t>2,458,323,603</w:t>
      </w:r>
      <w:r w:rsidRPr="00053B4A">
        <w:rPr>
          <w:rFonts w:cstheme="minorHAnsi"/>
        </w:rPr>
        <w:t xml:space="preserve"> ordinary shares in issue</w:t>
      </w:r>
      <w:r w:rsidR="00383643">
        <w:rPr>
          <w:rFonts w:cstheme="minorHAnsi"/>
        </w:rPr>
        <w:t xml:space="preserve">, </w:t>
      </w:r>
      <w:r w:rsidR="00383643" w:rsidRPr="00121B82">
        <w:rPr>
          <w:rFonts w:ascii="Source Sans Pro" w:hAnsi="Source Sans Pro" w:cstheme="minorHAnsi"/>
        </w:rPr>
        <w:t>each share carrying the right to one vote.</w:t>
      </w:r>
    </w:p>
    <w:p w14:paraId="53778E3F" w14:textId="251C707F" w:rsidR="00053B4A" w:rsidRDefault="00053B4A" w:rsidP="005276DE">
      <w:pPr>
        <w:spacing w:after="0"/>
        <w:jc w:val="both"/>
        <w:rPr>
          <w:rFonts w:cstheme="minorHAnsi"/>
        </w:rPr>
      </w:pPr>
    </w:p>
    <w:p w14:paraId="0B898F8F" w14:textId="0663BB52" w:rsidR="00307220" w:rsidRDefault="00307220" w:rsidP="00307220">
      <w:pPr>
        <w:spacing w:after="0"/>
        <w:jc w:val="both"/>
        <w:rPr>
          <w:rFonts w:cstheme="minorHAnsi"/>
        </w:rPr>
      </w:pPr>
      <w:r w:rsidRPr="00307220">
        <w:rPr>
          <w:rFonts w:cstheme="minorHAnsi"/>
        </w:rPr>
        <w:t xml:space="preserve">This figure </w:t>
      </w:r>
      <w:r w:rsidR="00383643">
        <w:rPr>
          <w:rFonts w:cstheme="minorHAnsi"/>
        </w:rPr>
        <w:t xml:space="preserve">of </w:t>
      </w:r>
      <w:r w:rsidR="00FB1D82">
        <w:rPr>
          <w:rFonts w:cstheme="minorHAnsi"/>
        </w:rPr>
        <w:t>2,458,323,603 O</w:t>
      </w:r>
      <w:r w:rsidR="00CE418E" w:rsidRPr="00053B4A">
        <w:rPr>
          <w:rFonts w:cstheme="minorHAnsi"/>
        </w:rPr>
        <w:t xml:space="preserve">rdinary </w:t>
      </w:r>
      <w:r w:rsidR="00FB1D82">
        <w:rPr>
          <w:rFonts w:cstheme="minorHAnsi"/>
        </w:rPr>
        <w:t>S</w:t>
      </w:r>
      <w:r w:rsidR="00CE418E" w:rsidRPr="00053B4A">
        <w:rPr>
          <w:rFonts w:cstheme="minorHAnsi"/>
        </w:rPr>
        <w:t xml:space="preserve">hares </w:t>
      </w:r>
      <w:r w:rsidRPr="00307220">
        <w:rPr>
          <w:rFonts w:cstheme="minorHAnsi"/>
        </w:rPr>
        <w:t>may be used by shareholders as the denominator for calculations by which they will determine if they are required to notify their interest in the Company, or a change to their interest in the Company, under the Financial Conduct Authority’s Disclosure Guidance and Transparency Rules.</w:t>
      </w:r>
    </w:p>
    <w:p w14:paraId="4C622731" w14:textId="77777777" w:rsidR="00CE418E" w:rsidRDefault="00CE418E" w:rsidP="00307220">
      <w:pPr>
        <w:spacing w:after="0"/>
        <w:jc w:val="both"/>
        <w:rPr>
          <w:rFonts w:cstheme="minorHAnsi"/>
        </w:rPr>
      </w:pPr>
    </w:p>
    <w:p w14:paraId="4D6D484E" w14:textId="02CDACFD" w:rsidR="00CE418E" w:rsidRPr="00307220" w:rsidRDefault="00CE418E" w:rsidP="00307220">
      <w:pPr>
        <w:spacing w:after="0"/>
        <w:jc w:val="both"/>
        <w:rPr>
          <w:rFonts w:cstheme="minorHAnsi"/>
        </w:rPr>
      </w:pPr>
      <w:r>
        <w:rPr>
          <w:rFonts w:cstheme="minorHAnsi"/>
        </w:rPr>
        <w:t xml:space="preserve">On Admission, </w:t>
      </w:r>
      <w:r w:rsidRPr="00FF27B6">
        <w:rPr>
          <w:rFonts w:cstheme="minorHAnsi"/>
        </w:rPr>
        <w:t>Elea Capital Holding JSC</w:t>
      </w:r>
      <w:r>
        <w:rPr>
          <w:rFonts w:cstheme="minorHAnsi"/>
        </w:rPr>
        <w:t xml:space="preserve"> will be interested in 645,000,000 </w:t>
      </w:r>
      <w:r w:rsidR="00FB1D82">
        <w:rPr>
          <w:rFonts w:cstheme="minorHAnsi"/>
        </w:rPr>
        <w:t xml:space="preserve">Ordinary Shares, representing </w:t>
      </w:r>
      <w:r w:rsidR="00B802C2">
        <w:rPr>
          <w:rFonts w:cstheme="minorHAnsi"/>
        </w:rPr>
        <w:t>26.24</w:t>
      </w:r>
      <w:r w:rsidR="00FB1D82">
        <w:rPr>
          <w:rFonts w:cstheme="minorHAnsi"/>
        </w:rPr>
        <w:t>% of the Company’s issued share capital as enlarged by the Placing.</w:t>
      </w:r>
    </w:p>
    <w:p w14:paraId="37552955" w14:textId="77777777" w:rsidR="00307220" w:rsidRPr="00307220" w:rsidRDefault="00307220" w:rsidP="00307220">
      <w:pPr>
        <w:spacing w:after="0"/>
        <w:jc w:val="both"/>
        <w:rPr>
          <w:rFonts w:cstheme="minorHAnsi"/>
        </w:rPr>
      </w:pPr>
    </w:p>
    <w:p w14:paraId="1C5DAAC8" w14:textId="77777777" w:rsidR="00A61303" w:rsidRPr="001E6242" w:rsidRDefault="00AA5B8B">
      <w:pPr>
        <w:spacing w:after="0"/>
        <w:contextualSpacing/>
        <w:jc w:val="both"/>
        <w:rPr>
          <w:rFonts w:cstheme="minorHAnsi"/>
        </w:rPr>
      </w:pPr>
      <w:r w:rsidRPr="001E6242">
        <w:rPr>
          <w:rFonts w:cstheme="minorHAnsi"/>
        </w:rPr>
        <w:t>The Directors of the issuer accept responsibility for the contents of this announcement.</w:t>
      </w:r>
    </w:p>
    <w:p w14:paraId="1C5DAAC9" w14:textId="77777777" w:rsidR="00A61303" w:rsidRPr="001E6242" w:rsidRDefault="00A61303">
      <w:pPr>
        <w:spacing w:after="0" w:line="240" w:lineRule="auto"/>
        <w:rPr>
          <w:rFonts w:cstheme="minorHAnsi"/>
        </w:rPr>
      </w:pPr>
    </w:p>
    <w:p w14:paraId="1C5DAACA" w14:textId="502009CD" w:rsidR="00A61303" w:rsidRPr="001E6242" w:rsidRDefault="00AA5B8B">
      <w:pPr>
        <w:spacing w:after="0" w:line="240" w:lineRule="auto"/>
        <w:jc w:val="both"/>
        <w:rPr>
          <w:rFonts w:eastAsia="Arial Unicode MS" w:cstheme="minorHAnsi"/>
          <w:color w:val="000000"/>
          <w:lang w:eastAsia="en-GB"/>
        </w:rPr>
      </w:pPr>
      <w:r w:rsidRPr="001E6242">
        <w:rPr>
          <w:rFonts w:eastAsia="Arial Unicode MS" w:cstheme="minorHAnsi"/>
          <w:color w:val="000000"/>
          <w:lang w:eastAsia="en-GB"/>
        </w:rPr>
        <w:t xml:space="preserve">For further information, please visit </w:t>
      </w:r>
      <w:hyperlink r:id="rId10" w:history="1">
        <w:r w:rsidR="009942FB" w:rsidRPr="00ED3C8E">
          <w:rPr>
            <w:rStyle w:val="Hyperlink"/>
            <w:rFonts w:eastAsia="Arial Unicode MS" w:cstheme="minorHAnsi"/>
            <w:lang w:eastAsia="en-GB"/>
          </w:rPr>
          <w:t>www.blackseapropertyplc.com</w:t>
        </w:r>
      </w:hyperlink>
      <w:r w:rsidR="009942FB">
        <w:rPr>
          <w:rFonts w:eastAsia="Arial Unicode MS" w:cstheme="minorHAnsi"/>
          <w:color w:val="000000"/>
          <w:lang w:eastAsia="en-GB"/>
        </w:rPr>
        <w:t xml:space="preserve"> </w:t>
      </w:r>
      <w:r w:rsidRPr="001E6242">
        <w:rPr>
          <w:rFonts w:eastAsia="Arial Unicode MS" w:cstheme="minorHAnsi"/>
          <w:color w:val="000000"/>
          <w:lang w:eastAsia="en-GB"/>
        </w:rPr>
        <w:t>or contact the following:</w:t>
      </w:r>
    </w:p>
    <w:p w14:paraId="4E5F132D" w14:textId="77777777" w:rsidR="000C13B6" w:rsidRPr="001E6242" w:rsidRDefault="000C13B6">
      <w:pPr>
        <w:spacing w:after="0" w:line="240" w:lineRule="auto"/>
        <w:jc w:val="both"/>
        <w:rPr>
          <w:rFonts w:eastAsia="Arial Unicode MS" w:cstheme="minorHAnsi"/>
          <w:color w:val="000000"/>
          <w:lang w:eastAsia="en-GB"/>
        </w:rPr>
      </w:pPr>
    </w:p>
    <w:tbl>
      <w:tblPr>
        <w:tblW w:w="8188" w:type="dxa"/>
        <w:tblInd w:w="-108" w:type="dxa"/>
        <w:tblCellMar>
          <w:left w:w="0" w:type="dxa"/>
          <w:right w:w="0" w:type="dxa"/>
        </w:tblCellMar>
        <w:tblLook w:val="04A0" w:firstRow="1" w:lastRow="0" w:firstColumn="1" w:lastColumn="0" w:noHBand="0" w:noVBand="1"/>
      </w:tblPr>
      <w:tblGrid>
        <w:gridCol w:w="5353"/>
        <w:gridCol w:w="2835"/>
      </w:tblGrid>
      <w:tr w:rsidR="00A61303" w:rsidRPr="001E6242" w14:paraId="1C5DAAD1" w14:textId="77777777">
        <w:tc>
          <w:tcPr>
            <w:tcW w:w="5353" w:type="dxa"/>
            <w:tcMar>
              <w:top w:w="0" w:type="dxa"/>
              <w:left w:w="108" w:type="dxa"/>
              <w:bottom w:w="0" w:type="dxa"/>
              <w:right w:w="108" w:type="dxa"/>
            </w:tcMar>
            <w:hideMark/>
          </w:tcPr>
          <w:p w14:paraId="1C5DAACD" w14:textId="77777777" w:rsidR="00A61303" w:rsidRPr="001E6242" w:rsidRDefault="00AA5B8B">
            <w:pPr>
              <w:spacing w:after="0" w:line="240" w:lineRule="auto"/>
              <w:jc w:val="both"/>
              <w:rPr>
                <w:rFonts w:eastAsia="Times New Roman" w:cstheme="minorHAnsi"/>
                <w:b/>
                <w:bCs/>
                <w:color w:val="000000"/>
                <w:lang w:eastAsia="en-GB"/>
              </w:rPr>
            </w:pPr>
            <w:r w:rsidRPr="001E6242">
              <w:rPr>
                <w:rFonts w:eastAsia="Times New Roman" w:cstheme="minorHAnsi"/>
                <w:b/>
                <w:bCs/>
                <w:color w:val="000000"/>
                <w:lang w:eastAsia="en-GB"/>
              </w:rPr>
              <w:t>BLACK SEA PROPERTY PLC</w:t>
            </w:r>
          </w:p>
          <w:p w14:paraId="1C5DAACE" w14:textId="13C388FF" w:rsidR="00A61303" w:rsidRPr="001E6242" w:rsidRDefault="000D6D7F">
            <w:pPr>
              <w:spacing w:after="0" w:line="240" w:lineRule="auto"/>
              <w:jc w:val="both"/>
              <w:rPr>
                <w:rFonts w:eastAsia="Times New Roman" w:cstheme="minorHAnsi"/>
                <w:color w:val="000000"/>
                <w:lang w:eastAsia="en-GB"/>
              </w:rPr>
            </w:pPr>
            <w:r w:rsidRPr="001E6242">
              <w:rPr>
                <w:rFonts w:eastAsia="Times New Roman" w:cstheme="minorHAnsi"/>
                <w:color w:val="000000"/>
                <w:lang w:eastAsia="en-GB"/>
              </w:rPr>
              <w:t>Simon Hudd</w:t>
            </w:r>
            <w:r w:rsidR="00AA5B8B" w:rsidRPr="001E6242">
              <w:rPr>
                <w:rFonts w:eastAsia="Times New Roman" w:cstheme="minorHAnsi"/>
                <w:color w:val="000000"/>
                <w:lang w:eastAsia="en-GB"/>
              </w:rPr>
              <w:t xml:space="preserve"> -  Chairman</w:t>
            </w:r>
          </w:p>
          <w:p w14:paraId="1C5DAACF" w14:textId="77777777" w:rsidR="00A61303" w:rsidRPr="001E6242" w:rsidRDefault="00AA5B8B">
            <w:pPr>
              <w:spacing w:after="0" w:line="240" w:lineRule="auto"/>
              <w:jc w:val="both"/>
              <w:rPr>
                <w:rFonts w:eastAsia="Times New Roman" w:cstheme="minorHAnsi"/>
                <w:color w:val="000000"/>
                <w:lang w:eastAsia="en-GB"/>
              </w:rPr>
            </w:pPr>
            <w:r w:rsidRPr="001E6242">
              <w:rPr>
                <w:rFonts w:eastAsia="Times New Roman" w:cstheme="minorHAnsi"/>
                <w:color w:val="000000"/>
                <w:lang w:eastAsia="en-GB"/>
              </w:rPr>
              <w:t> </w:t>
            </w:r>
          </w:p>
        </w:tc>
        <w:tc>
          <w:tcPr>
            <w:tcW w:w="2835" w:type="dxa"/>
            <w:tcMar>
              <w:top w:w="0" w:type="dxa"/>
              <w:left w:w="108" w:type="dxa"/>
              <w:bottom w:w="0" w:type="dxa"/>
              <w:right w:w="108" w:type="dxa"/>
            </w:tcMar>
            <w:hideMark/>
          </w:tcPr>
          <w:p w14:paraId="1C5DAAD0" w14:textId="77777777" w:rsidR="00A61303" w:rsidRPr="001E6242" w:rsidRDefault="00AA5B8B">
            <w:pPr>
              <w:spacing w:after="0" w:line="240" w:lineRule="auto"/>
              <w:jc w:val="right"/>
              <w:rPr>
                <w:rFonts w:eastAsia="Times New Roman" w:cstheme="minorHAnsi"/>
                <w:color w:val="000000"/>
                <w:lang w:eastAsia="en-GB"/>
              </w:rPr>
            </w:pPr>
            <w:r w:rsidRPr="001E6242">
              <w:rPr>
                <w:rFonts w:eastAsia="Times New Roman" w:cstheme="minorHAnsi"/>
                <w:color w:val="000000"/>
                <w:lang w:eastAsia="en-GB"/>
              </w:rPr>
              <w:t>+44(0) 774 702 0600</w:t>
            </w:r>
          </w:p>
        </w:tc>
      </w:tr>
      <w:tr w:rsidR="00A61303" w:rsidRPr="001E6242" w14:paraId="1C5DAAD6" w14:textId="77777777">
        <w:tc>
          <w:tcPr>
            <w:tcW w:w="5353" w:type="dxa"/>
            <w:tcMar>
              <w:top w:w="0" w:type="dxa"/>
              <w:left w:w="108" w:type="dxa"/>
              <w:bottom w:w="0" w:type="dxa"/>
              <w:right w:w="108" w:type="dxa"/>
            </w:tcMar>
            <w:hideMark/>
          </w:tcPr>
          <w:p w14:paraId="1C5DAAD2" w14:textId="7824E3E6" w:rsidR="00A61303" w:rsidRPr="001E6242" w:rsidRDefault="00AA5B8B">
            <w:pPr>
              <w:spacing w:after="0" w:line="240" w:lineRule="auto"/>
              <w:jc w:val="both"/>
              <w:rPr>
                <w:rFonts w:eastAsia="Times New Roman" w:cstheme="minorHAnsi"/>
                <w:b/>
                <w:bCs/>
                <w:color w:val="000000"/>
                <w:lang w:eastAsia="en-GB"/>
              </w:rPr>
            </w:pPr>
            <w:r w:rsidRPr="001E6242">
              <w:rPr>
                <w:rFonts w:eastAsia="Times New Roman" w:cstheme="minorHAnsi"/>
                <w:b/>
                <w:bCs/>
                <w:color w:val="000000"/>
                <w:lang w:eastAsia="en-GB"/>
              </w:rPr>
              <w:t xml:space="preserve">PETERHOUSE </w:t>
            </w:r>
            <w:r w:rsidR="009942FB">
              <w:rPr>
                <w:rFonts w:eastAsia="Times New Roman" w:cstheme="minorHAnsi"/>
                <w:b/>
                <w:bCs/>
                <w:color w:val="000000"/>
                <w:lang w:eastAsia="en-GB"/>
              </w:rPr>
              <w:t>CAPITAL</w:t>
            </w:r>
            <w:r w:rsidRPr="001E6242">
              <w:rPr>
                <w:rFonts w:eastAsia="Times New Roman" w:cstheme="minorHAnsi"/>
                <w:b/>
                <w:bCs/>
                <w:color w:val="000000"/>
                <w:lang w:eastAsia="en-GB"/>
              </w:rPr>
              <w:t xml:space="preserve"> LIMITED</w:t>
            </w:r>
          </w:p>
          <w:p w14:paraId="1C5DAAD3" w14:textId="507DBC40" w:rsidR="00A61303" w:rsidRPr="001E6242" w:rsidRDefault="00960C3B">
            <w:pPr>
              <w:spacing w:after="0" w:line="240" w:lineRule="auto"/>
              <w:jc w:val="both"/>
              <w:rPr>
                <w:rFonts w:eastAsia="Times New Roman" w:cstheme="minorHAnsi"/>
                <w:color w:val="000000"/>
                <w:lang w:eastAsia="en-GB"/>
              </w:rPr>
            </w:pPr>
            <w:r w:rsidRPr="001E6242">
              <w:rPr>
                <w:rFonts w:eastAsia="Times New Roman" w:cstheme="minorHAnsi"/>
                <w:color w:val="000000"/>
                <w:lang w:eastAsia="en-GB"/>
              </w:rPr>
              <w:t>A</w:t>
            </w:r>
            <w:r>
              <w:rPr>
                <w:rFonts w:eastAsia="Times New Roman" w:cstheme="minorHAnsi"/>
                <w:color w:val="000000"/>
                <w:lang w:eastAsia="en-GB"/>
              </w:rPr>
              <w:t>quis</w:t>
            </w:r>
            <w:r w:rsidRPr="001E6242">
              <w:rPr>
                <w:rFonts w:eastAsia="Times New Roman" w:cstheme="minorHAnsi"/>
                <w:color w:val="000000"/>
                <w:lang w:eastAsia="en-GB"/>
              </w:rPr>
              <w:t xml:space="preserve"> </w:t>
            </w:r>
            <w:r w:rsidR="00AA5B8B" w:rsidRPr="001E6242">
              <w:rPr>
                <w:rFonts w:eastAsia="Times New Roman" w:cstheme="minorHAnsi"/>
                <w:color w:val="000000"/>
                <w:lang w:eastAsia="en-GB"/>
              </w:rPr>
              <w:t>Corporate Adviser</w:t>
            </w:r>
          </w:p>
          <w:p w14:paraId="1C5DAAD4" w14:textId="0C2D727E" w:rsidR="00A61303" w:rsidRPr="001E6242" w:rsidRDefault="00AA5B8B">
            <w:pPr>
              <w:spacing w:after="0" w:line="240" w:lineRule="auto"/>
              <w:jc w:val="both"/>
              <w:rPr>
                <w:rFonts w:eastAsia="Times New Roman" w:cstheme="minorHAnsi"/>
                <w:color w:val="000000"/>
                <w:lang w:eastAsia="en-GB"/>
              </w:rPr>
            </w:pPr>
            <w:r w:rsidRPr="001E6242">
              <w:rPr>
                <w:rFonts w:eastAsia="Times New Roman" w:cstheme="minorHAnsi"/>
                <w:color w:val="000000"/>
                <w:lang w:eastAsia="en-GB"/>
              </w:rPr>
              <w:t>Heena Karani</w:t>
            </w:r>
            <w:r w:rsidR="005C681B" w:rsidRPr="001E6242">
              <w:rPr>
                <w:rFonts w:eastAsia="Times New Roman" w:cstheme="minorHAnsi"/>
                <w:color w:val="000000"/>
                <w:lang w:eastAsia="en-GB"/>
              </w:rPr>
              <w:t xml:space="preserve"> </w:t>
            </w:r>
            <w:r w:rsidRPr="001E6242">
              <w:rPr>
                <w:rFonts w:eastAsia="Times New Roman" w:cstheme="minorHAnsi"/>
                <w:color w:val="000000"/>
                <w:lang w:eastAsia="en-GB"/>
              </w:rPr>
              <w:t>and Duncan Vasey</w:t>
            </w:r>
          </w:p>
        </w:tc>
        <w:tc>
          <w:tcPr>
            <w:tcW w:w="2835" w:type="dxa"/>
            <w:tcMar>
              <w:top w:w="0" w:type="dxa"/>
              <w:left w:w="108" w:type="dxa"/>
              <w:bottom w:w="0" w:type="dxa"/>
              <w:right w:w="108" w:type="dxa"/>
            </w:tcMar>
            <w:hideMark/>
          </w:tcPr>
          <w:p w14:paraId="1C5DAAD5" w14:textId="77777777" w:rsidR="00A61303" w:rsidRPr="001E6242" w:rsidRDefault="00AA5B8B">
            <w:pPr>
              <w:spacing w:after="0" w:line="240" w:lineRule="auto"/>
              <w:jc w:val="right"/>
              <w:rPr>
                <w:rFonts w:eastAsia="Times New Roman" w:cstheme="minorHAnsi"/>
                <w:color w:val="000000"/>
                <w:lang w:eastAsia="en-GB"/>
              </w:rPr>
            </w:pPr>
            <w:r w:rsidRPr="001E6242">
              <w:rPr>
                <w:rFonts w:eastAsia="Times New Roman" w:cstheme="minorHAnsi"/>
                <w:color w:val="000000"/>
                <w:lang w:eastAsia="en-GB"/>
              </w:rPr>
              <w:t>+44 (0) 207 469 0930</w:t>
            </w:r>
          </w:p>
        </w:tc>
      </w:tr>
    </w:tbl>
    <w:p w14:paraId="1C5DAAD7" w14:textId="77777777" w:rsidR="00A61303" w:rsidRDefault="00A61303" w:rsidP="00223B84">
      <w:pPr>
        <w:spacing w:after="0" w:line="240" w:lineRule="auto"/>
        <w:rPr>
          <w:rFonts w:cstheme="minorHAnsi"/>
          <w:lang w:val="bg-BG"/>
        </w:rPr>
      </w:pPr>
    </w:p>
    <w:p w14:paraId="15B453FC" w14:textId="77777777" w:rsidR="009942FB" w:rsidRPr="000A75E8" w:rsidRDefault="009942FB" w:rsidP="009942FB">
      <w:pPr>
        <w:spacing w:after="0" w:line="240" w:lineRule="auto"/>
        <w:rPr>
          <w:rFonts w:cstheme="minorHAnsi"/>
          <w:b/>
          <w:bCs/>
          <w:lang w:val="bg-BG"/>
        </w:rPr>
      </w:pPr>
      <w:r w:rsidRPr="000A75E8">
        <w:rPr>
          <w:rFonts w:cstheme="minorHAnsi"/>
          <w:b/>
          <w:bCs/>
          <w:lang w:val="bg-BG"/>
        </w:rPr>
        <w:t>Market Abuse Regulation (MAR) Disclosure</w:t>
      </w:r>
    </w:p>
    <w:p w14:paraId="30D8854A" w14:textId="4206A764" w:rsidR="009942FB" w:rsidRPr="001E6242" w:rsidRDefault="009942FB" w:rsidP="000A75E8">
      <w:pPr>
        <w:spacing w:after="0" w:line="240" w:lineRule="auto"/>
        <w:jc w:val="both"/>
        <w:rPr>
          <w:rFonts w:cstheme="minorHAnsi"/>
          <w:lang w:val="bg-BG"/>
        </w:rPr>
      </w:pPr>
      <w:r w:rsidRPr="009942FB">
        <w:rPr>
          <w:rFonts w:cstheme="minorHAnsi"/>
          <w:lang w:val="bg-BG"/>
        </w:rPr>
        <w:t>This announcement contains inside information for the purposes of Article 7 of the Market Abuse Regulation EU 596/2014 as it forms part of retained EU law (as defined in the European Union (Withdrawal) Act 2018).</w:t>
      </w:r>
    </w:p>
    <w:sectPr w:rsidR="009942FB" w:rsidRPr="001E6242" w:rsidSect="00223B84">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AE71" w14:textId="77777777" w:rsidR="00E658A9" w:rsidRDefault="00E658A9">
      <w:pPr>
        <w:spacing w:after="0" w:line="240" w:lineRule="auto"/>
      </w:pPr>
      <w:r>
        <w:separator/>
      </w:r>
    </w:p>
  </w:endnote>
  <w:endnote w:type="continuationSeparator" w:id="0">
    <w:p w14:paraId="3BC2F0BD" w14:textId="77777777" w:rsidR="00E658A9" w:rsidRDefault="00E658A9">
      <w:pPr>
        <w:spacing w:after="0" w:line="240" w:lineRule="auto"/>
      </w:pPr>
      <w:r>
        <w:continuationSeparator/>
      </w:r>
    </w:p>
  </w:endnote>
  <w:endnote w:type="continuationNotice" w:id="1">
    <w:p w14:paraId="79FE6D26" w14:textId="77777777" w:rsidR="00E658A9" w:rsidRDefault="00E65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82486" w14:textId="77777777" w:rsidR="00E658A9" w:rsidRDefault="00E658A9">
      <w:pPr>
        <w:spacing w:after="0" w:line="240" w:lineRule="auto"/>
      </w:pPr>
      <w:r>
        <w:separator/>
      </w:r>
    </w:p>
  </w:footnote>
  <w:footnote w:type="continuationSeparator" w:id="0">
    <w:p w14:paraId="44ED9B0B" w14:textId="77777777" w:rsidR="00E658A9" w:rsidRDefault="00E658A9">
      <w:pPr>
        <w:spacing w:after="0" w:line="240" w:lineRule="auto"/>
      </w:pPr>
      <w:r>
        <w:continuationSeparator/>
      </w:r>
    </w:p>
  </w:footnote>
  <w:footnote w:type="continuationNotice" w:id="1">
    <w:p w14:paraId="431B1281" w14:textId="77777777" w:rsidR="00E658A9" w:rsidRDefault="00E658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22A"/>
    <w:multiLevelType w:val="hybridMultilevel"/>
    <w:tmpl w:val="7704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56C48"/>
    <w:multiLevelType w:val="hybridMultilevel"/>
    <w:tmpl w:val="75244298"/>
    <w:lvl w:ilvl="0" w:tplc="C1962E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52372"/>
    <w:multiLevelType w:val="hybridMultilevel"/>
    <w:tmpl w:val="046C097A"/>
    <w:lvl w:ilvl="0" w:tplc="F67ECD6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03"/>
    <w:rsid w:val="00003A7D"/>
    <w:rsid w:val="000046EB"/>
    <w:rsid w:val="00010A99"/>
    <w:rsid w:val="000303A0"/>
    <w:rsid w:val="00041061"/>
    <w:rsid w:val="00043D07"/>
    <w:rsid w:val="000459DD"/>
    <w:rsid w:val="00050EDA"/>
    <w:rsid w:val="00051AD8"/>
    <w:rsid w:val="000523B5"/>
    <w:rsid w:val="00053B4A"/>
    <w:rsid w:val="0006559B"/>
    <w:rsid w:val="00072A93"/>
    <w:rsid w:val="000835F3"/>
    <w:rsid w:val="00093F65"/>
    <w:rsid w:val="000A2620"/>
    <w:rsid w:val="000A3A6B"/>
    <w:rsid w:val="000A4592"/>
    <w:rsid w:val="000A61B9"/>
    <w:rsid w:val="000A75E8"/>
    <w:rsid w:val="000B423F"/>
    <w:rsid w:val="000B4BA9"/>
    <w:rsid w:val="000C13B6"/>
    <w:rsid w:val="000C2B09"/>
    <w:rsid w:val="000C3600"/>
    <w:rsid w:val="000C3B39"/>
    <w:rsid w:val="000C45BE"/>
    <w:rsid w:val="000C7A9A"/>
    <w:rsid w:val="000C7F73"/>
    <w:rsid w:val="000D296A"/>
    <w:rsid w:val="000D4629"/>
    <w:rsid w:val="000D6D7F"/>
    <w:rsid w:val="000E2A16"/>
    <w:rsid w:val="00111B99"/>
    <w:rsid w:val="00113E11"/>
    <w:rsid w:val="00121C1B"/>
    <w:rsid w:val="00123977"/>
    <w:rsid w:val="00127468"/>
    <w:rsid w:val="001308FC"/>
    <w:rsid w:val="001365AD"/>
    <w:rsid w:val="00142254"/>
    <w:rsid w:val="001511C2"/>
    <w:rsid w:val="00155113"/>
    <w:rsid w:val="00163760"/>
    <w:rsid w:val="0016540E"/>
    <w:rsid w:val="00171B76"/>
    <w:rsid w:val="001726BC"/>
    <w:rsid w:val="001760F4"/>
    <w:rsid w:val="001779F2"/>
    <w:rsid w:val="00177AF1"/>
    <w:rsid w:val="0018070B"/>
    <w:rsid w:val="00182C4F"/>
    <w:rsid w:val="00184C30"/>
    <w:rsid w:val="0018633A"/>
    <w:rsid w:val="001A23A6"/>
    <w:rsid w:val="001B2393"/>
    <w:rsid w:val="001B7619"/>
    <w:rsid w:val="001C1235"/>
    <w:rsid w:val="001C28A4"/>
    <w:rsid w:val="001C55F3"/>
    <w:rsid w:val="001E401A"/>
    <w:rsid w:val="001E4DCC"/>
    <w:rsid w:val="001E6242"/>
    <w:rsid w:val="001F0AB2"/>
    <w:rsid w:val="001F1A51"/>
    <w:rsid w:val="001F5478"/>
    <w:rsid w:val="001F7402"/>
    <w:rsid w:val="00210D2E"/>
    <w:rsid w:val="00223537"/>
    <w:rsid w:val="00223B84"/>
    <w:rsid w:val="00223FE0"/>
    <w:rsid w:val="00230B7B"/>
    <w:rsid w:val="002337DD"/>
    <w:rsid w:val="00241BCB"/>
    <w:rsid w:val="002422FB"/>
    <w:rsid w:val="002430F2"/>
    <w:rsid w:val="00243DE5"/>
    <w:rsid w:val="00250E64"/>
    <w:rsid w:val="0025394C"/>
    <w:rsid w:val="00253968"/>
    <w:rsid w:val="00257675"/>
    <w:rsid w:val="00264D61"/>
    <w:rsid w:val="00266827"/>
    <w:rsid w:val="00282913"/>
    <w:rsid w:val="002846E7"/>
    <w:rsid w:val="00286968"/>
    <w:rsid w:val="00286C7B"/>
    <w:rsid w:val="00287DCA"/>
    <w:rsid w:val="002A1D06"/>
    <w:rsid w:val="002A4A08"/>
    <w:rsid w:val="002B2F44"/>
    <w:rsid w:val="002C0A7F"/>
    <w:rsid w:val="002C0AFC"/>
    <w:rsid w:val="002C3351"/>
    <w:rsid w:val="002C5C3B"/>
    <w:rsid w:val="002E4CFB"/>
    <w:rsid w:val="002E7476"/>
    <w:rsid w:val="00302311"/>
    <w:rsid w:val="00307220"/>
    <w:rsid w:val="0031080A"/>
    <w:rsid w:val="00324F2D"/>
    <w:rsid w:val="0032647D"/>
    <w:rsid w:val="003306AA"/>
    <w:rsid w:val="0034554F"/>
    <w:rsid w:val="00347ADD"/>
    <w:rsid w:val="00352C27"/>
    <w:rsid w:val="00355BA9"/>
    <w:rsid w:val="003609B5"/>
    <w:rsid w:val="00364963"/>
    <w:rsid w:val="0037281D"/>
    <w:rsid w:val="00373689"/>
    <w:rsid w:val="0037716D"/>
    <w:rsid w:val="00377D89"/>
    <w:rsid w:val="00377F5E"/>
    <w:rsid w:val="0038023D"/>
    <w:rsid w:val="00380D49"/>
    <w:rsid w:val="0038162F"/>
    <w:rsid w:val="00383643"/>
    <w:rsid w:val="00390E54"/>
    <w:rsid w:val="0039164C"/>
    <w:rsid w:val="003929C3"/>
    <w:rsid w:val="003941F9"/>
    <w:rsid w:val="003B030F"/>
    <w:rsid w:val="003B75CF"/>
    <w:rsid w:val="003D5299"/>
    <w:rsid w:val="003E1FEE"/>
    <w:rsid w:val="003E48D1"/>
    <w:rsid w:val="003E49F0"/>
    <w:rsid w:val="003E529D"/>
    <w:rsid w:val="003E6066"/>
    <w:rsid w:val="003F2BB0"/>
    <w:rsid w:val="003F49DE"/>
    <w:rsid w:val="004015CD"/>
    <w:rsid w:val="00406CA7"/>
    <w:rsid w:val="00406F89"/>
    <w:rsid w:val="0041093B"/>
    <w:rsid w:val="004166FA"/>
    <w:rsid w:val="00424D77"/>
    <w:rsid w:val="004265A7"/>
    <w:rsid w:val="00450F23"/>
    <w:rsid w:val="00457950"/>
    <w:rsid w:val="0046014B"/>
    <w:rsid w:val="00464801"/>
    <w:rsid w:val="00477362"/>
    <w:rsid w:val="0048003A"/>
    <w:rsid w:val="00483099"/>
    <w:rsid w:val="00483DDB"/>
    <w:rsid w:val="00496287"/>
    <w:rsid w:val="004A7CDB"/>
    <w:rsid w:val="004B11EA"/>
    <w:rsid w:val="004C3372"/>
    <w:rsid w:val="004C386C"/>
    <w:rsid w:val="004E50D0"/>
    <w:rsid w:val="004F5B72"/>
    <w:rsid w:val="00505291"/>
    <w:rsid w:val="0050535A"/>
    <w:rsid w:val="00510F84"/>
    <w:rsid w:val="00515AC4"/>
    <w:rsid w:val="00527109"/>
    <w:rsid w:val="005276DE"/>
    <w:rsid w:val="00530395"/>
    <w:rsid w:val="0053067E"/>
    <w:rsid w:val="00535429"/>
    <w:rsid w:val="005374E5"/>
    <w:rsid w:val="005378A6"/>
    <w:rsid w:val="00550BF7"/>
    <w:rsid w:val="005551D3"/>
    <w:rsid w:val="00555B80"/>
    <w:rsid w:val="00561F91"/>
    <w:rsid w:val="005623EF"/>
    <w:rsid w:val="00564363"/>
    <w:rsid w:val="005726DD"/>
    <w:rsid w:val="00574475"/>
    <w:rsid w:val="00574FC7"/>
    <w:rsid w:val="005863C8"/>
    <w:rsid w:val="005A4699"/>
    <w:rsid w:val="005A4F82"/>
    <w:rsid w:val="005C2AA0"/>
    <w:rsid w:val="005C32C9"/>
    <w:rsid w:val="005C3FE4"/>
    <w:rsid w:val="005C61E5"/>
    <w:rsid w:val="005C681B"/>
    <w:rsid w:val="005D667B"/>
    <w:rsid w:val="005D77DE"/>
    <w:rsid w:val="005E627A"/>
    <w:rsid w:val="00602438"/>
    <w:rsid w:val="006035AB"/>
    <w:rsid w:val="00603783"/>
    <w:rsid w:val="00611E06"/>
    <w:rsid w:val="00633C73"/>
    <w:rsid w:val="00641B4E"/>
    <w:rsid w:val="00642AC2"/>
    <w:rsid w:val="0064529D"/>
    <w:rsid w:val="00647883"/>
    <w:rsid w:val="00651FE7"/>
    <w:rsid w:val="0066079B"/>
    <w:rsid w:val="00660AB0"/>
    <w:rsid w:val="00662535"/>
    <w:rsid w:val="00662EAA"/>
    <w:rsid w:val="0067421A"/>
    <w:rsid w:val="006A4A4D"/>
    <w:rsid w:val="006A5A03"/>
    <w:rsid w:val="006B0CC8"/>
    <w:rsid w:val="006B38BC"/>
    <w:rsid w:val="006B461C"/>
    <w:rsid w:val="006C40EC"/>
    <w:rsid w:val="006C4BED"/>
    <w:rsid w:val="006C704D"/>
    <w:rsid w:val="006D0979"/>
    <w:rsid w:val="006D3B77"/>
    <w:rsid w:val="006F45D2"/>
    <w:rsid w:val="00703199"/>
    <w:rsid w:val="0070571E"/>
    <w:rsid w:val="007204EF"/>
    <w:rsid w:val="007212DA"/>
    <w:rsid w:val="00722159"/>
    <w:rsid w:val="007228DA"/>
    <w:rsid w:val="007234B4"/>
    <w:rsid w:val="00724C2A"/>
    <w:rsid w:val="00724C5F"/>
    <w:rsid w:val="0073265B"/>
    <w:rsid w:val="00741235"/>
    <w:rsid w:val="00741A1A"/>
    <w:rsid w:val="00743A22"/>
    <w:rsid w:val="00746BA9"/>
    <w:rsid w:val="00747D15"/>
    <w:rsid w:val="00752A90"/>
    <w:rsid w:val="0076185E"/>
    <w:rsid w:val="0076289B"/>
    <w:rsid w:val="00765ED8"/>
    <w:rsid w:val="007747CB"/>
    <w:rsid w:val="00784433"/>
    <w:rsid w:val="00791054"/>
    <w:rsid w:val="00797B73"/>
    <w:rsid w:val="00797BCE"/>
    <w:rsid w:val="007A609A"/>
    <w:rsid w:val="007B2CA9"/>
    <w:rsid w:val="007B3287"/>
    <w:rsid w:val="007B6226"/>
    <w:rsid w:val="007C32D6"/>
    <w:rsid w:val="007C44BA"/>
    <w:rsid w:val="007C5D1B"/>
    <w:rsid w:val="007D072A"/>
    <w:rsid w:val="007D1709"/>
    <w:rsid w:val="007D3859"/>
    <w:rsid w:val="007D4C36"/>
    <w:rsid w:val="007D72D6"/>
    <w:rsid w:val="007E06EB"/>
    <w:rsid w:val="007E4447"/>
    <w:rsid w:val="007E6DF2"/>
    <w:rsid w:val="007F2E5E"/>
    <w:rsid w:val="007F6D2B"/>
    <w:rsid w:val="00806D2F"/>
    <w:rsid w:val="008070A8"/>
    <w:rsid w:val="0081376B"/>
    <w:rsid w:val="008147D8"/>
    <w:rsid w:val="00826D4B"/>
    <w:rsid w:val="0083009D"/>
    <w:rsid w:val="00831F23"/>
    <w:rsid w:val="00844E24"/>
    <w:rsid w:val="00845A00"/>
    <w:rsid w:val="008465AE"/>
    <w:rsid w:val="008510D7"/>
    <w:rsid w:val="00863ABD"/>
    <w:rsid w:val="008663A8"/>
    <w:rsid w:val="00874A68"/>
    <w:rsid w:val="00880A5F"/>
    <w:rsid w:val="00887B68"/>
    <w:rsid w:val="008A5431"/>
    <w:rsid w:val="008B29EE"/>
    <w:rsid w:val="008B2A5E"/>
    <w:rsid w:val="008B4A15"/>
    <w:rsid w:val="008B6ED5"/>
    <w:rsid w:val="008C16DA"/>
    <w:rsid w:val="008C6AA3"/>
    <w:rsid w:val="008F6329"/>
    <w:rsid w:val="00900DE3"/>
    <w:rsid w:val="009067D4"/>
    <w:rsid w:val="00916239"/>
    <w:rsid w:val="009225FA"/>
    <w:rsid w:val="00922C65"/>
    <w:rsid w:val="009346AC"/>
    <w:rsid w:val="0093532F"/>
    <w:rsid w:val="00937C06"/>
    <w:rsid w:val="00940D08"/>
    <w:rsid w:val="00943501"/>
    <w:rsid w:val="0094375F"/>
    <w:rsid w:val="00943F68"/>
    <w:rsid w:val="0096024B"/>
    <w:rsid w:val="00960C3B"/>
    <w:rsid w:val="009640DE"/>
    <w:rsid w:val="00964C36"/>
    <w:rsid w:val="009665AF"/>
    <w:rsid w:val="00970AEE"/>
    <w:rsid w:val="009724F7"/>
    <w:rsid w:val="0098179E"/>
    <w:rsid w:val="00982D05"/>
    <w:rsid w:val="0098360A"/>
    <w:rsid w:val="00991F1D"/>
    <w:rsid w:val="009942FB"/>
    <w:rsid w:val="009A50F4"/>
    <w:rsid w:val="009C0CD5"/>
    <w:rsid w:val="009C293F"/>
    <w:rsid w:val="009C7709"/>
    <w:rsid w:val="009D24C5"/>
    <w:rsid w:val="009D25B2"/>
    <w:rsid w:val="009D7D3F"/>
    <w:rsid w:val="009E0C8B"/>
    <w:rsid w:val="009E2892"/>
    <w:rsid w:val="00A01905"/>
    <w:rsid w:val="00A112D6"/>
    <w:rsid w:val="00A11AB4"/>
    <w:rsid w:val="00A143C3"/>
    <w:rsid w:val="00A216A7"/>
    <w:rsid w:val="00A21E5B"/>
    <w:rsid w:val="00A27791"/>
    <w:rsid w:val="00A3224B"/>
    <w:rsid w:val="00A37CD3"/>
    <w:rsid w:val="00A41430"/>
    <w:rsid w:val="00A45977"/>
    <w:rsid w:val="00A51F69"/>
    <w:rsid w:val="00A5494F"/>
    <w:rsid w:val="00A61303"/>
    <w:rsid w:val="00A6165C"/>
    <w:rsid w:val="00A6246A"/>
    <w:rsid w:val="00A63C5F"/>
    <w:rsid w:val="00A65A9E"/>
    <w:rsid w:val="00A727A9"/>
    <w:rsid w:val="00A839D8"/>
    <w:rsid w:val="00A9002E"/>
    <w:rsid w:val="00A93602"/>
    <w:rsid w:val="00A944AA"/>
    <w:rsid w:val="00A95012"/>
    <w:rsid w:val="00AA5B8B"/>
    <w:rsid w:val="00AC3D7C"/>
    <w:rsid w:val="00AD122A"/>
    <w:rsid w:val="00AD40DA"/>
    <w:rsid w:val="00AD42C4"/>
    <w:rsid w:val="00AD56F0"/>
    <w:rsid w:val="00AE12E1"/>
    <w:rsid w:val="00AE42E6"/>
    <w:rsid w:val="00B06845"/>
    <w:rsid w:val="00B2010C"/>
    <w:rsid w:val="00B20D3F"/>
    <w:rsid w:val="00B24A24"/>
    <w:rsid w:val="00B362E5"/>
    <w:rsid w:val="00B465AD"/>
    <w:rsid w:val="00B510F2"/>
    <w:rsid w:val="00B522CC"/>
    <w:rsid w:val="00B56283"/>
    <w:rsid w:val="00B657DB"/>
    <w:rsid w:val="00B679CB"/>
    <w:rsid w:val="00B67B6E"/>
    <w:rsid w:val="00B77B08"/>
    <w:rsid w:val="00B802C2"/>
    <w:rsid w:val="00B8063E"/>
    <w:rsid w:val="00B82230"/>
    <w:rsid w:val="00B90C57"/>
    <w:rsid w:val="00B92DE9"/>
    <w:rsid w:val="00B937D1"/>
    <w:rsid w:val="00B96395"/>
    <w:rsid w:val="00BA02C1"/>
    <w:rsid w:val="00BA39EA"/>
    <w:rsid w:val="00BA50E6"/>
    <w:rsid w:val="00BB7764"/>
    <w:rsid w:val="00BB7C8F"/>
    <w:rsid w:val="00BC5C84"/>
    <w:rsid w:val="00BD2A13"/>
    <w:rsid w:val="00BE7C70"/>
    <w:rsid w:val="00BF045A"/>
    <w:rsid w:val="00BF0A4D"/>
    <w:rsid w:val="00C00D50"/>
    <w:rsid w:val="00C018BF"/>
    <w:rsid w:val="00C01BFC"/>
    <w:rsid w:val="00C04ACD"/>
    <w:rsid w:val="00C05B03"/>
    <w:rsid w:val="00C117B2"/>
    <w:rsid w:val="00C11EEC"/>
    <w:rsid w:val="00C226E2"/>
    <w:rsid w:val="00C340D9"/>
    <w:rsid w:val="00C362F7"/>
    <w:rsid w:val="00C548E1"/>
    <w:rsid w:val="00C55577"/>
    <w:rsid w:val="00C6001D"/>
    <w:rsid w:val="00C60A6A"/>
    <w:rsid w:val="00C6574E"/>
    <w:rsid w:val="00C713B2"/>
    <w:rsid w:val="00C744B1"/>
    <w:rsid w:val="00C74558"/>
    <w:rsid w:val="00C7624E"/>
    <w:rsid w:val="00C76B5A"/>
    <w:rsid w:val="00C76FE2"/>
    <w:rsid w:val="00C81A50"/>
    <w:rsid w:val="00C81B5F"/>
    <w:rsid w:val="00C83665"/>
    <w:rsid w:val="00C864C9"/>
    <w:rsid w:val="00C87267"/>
    <w:rsid w:val="00C90DB2"/>
    <w:rsid w:val="00CB0EAD"/>
    <w:rsid w:val="00CB60BA"/>
    <w:rsid w:val="00CD026D"/>
    <w:rsid w:val="00CD425D"/>
    <w:rsid w:val="00CE418E"/>
    <w:rsid w:val="00CF24BF"/>
    <w:rsid w:val="00D03A22"/>
    <w:rsid w:val="00D054F5"/>
    <w:rsid w:val="00D11A89"/>
    <w:rsid w:val="00D14979"/>
    <w:rsid w:val="00D20AD5"/>
    <w:rsid w:val="00D310F4"/>
    <w:rsid w:val="00D33D36"/>
    <w:rsid w:val="00D36A18"/>
    <w:rsid w:val="00D37E20"/>
    <w:rsid w:val="00D50E32"/>
    <w:rsid w:val="00D5564F"/>
    <w:rsid w:val="00D572EE"/>
    <w:rsid w:val="00D634AF"/>
    <w:rsid w:val="00D6487D"/>
    <w:rsid w:val="00D73147"/>
    <w:rsid w:val="00D77095"/>
    <w:rsid w:val="00D822E2"/>
    <w:rsid w:val="00D82882"/>
    <w:rsid w:val="00D952A9"/>
    <w:rsid w:val="00D9630C"/>
    <w:rsid w:val="00DC0179"/>
    <w:rsid w:val="00DC4EFD"/>
    <w:rsid w:val="00DC55CF"/>
    <w:rsid w:val="00DC73F9"/>
    <w:rsid w:val="00DD5F0F"/>
    <w:rsid w:val="00DE1822"/>
    <w:rsid w:val="00DE2AAE"/>
    <w:rsid w:val="00DE5E89"/>
    <w:rsid w:val="00DF4EDE"/>
    <w:rsid w:val="00E05CF0"/>
    <w:rsid w:val="00E10E5F"/>
    <w:rsid w:val="00E1668F"/>
    <w:rsid w:val="00E170A6"/>
    <w:rsid w:val="00E174BD"/>
    <w:rsid w:val="00E27903"/>
    <w:rsid w:val="00E32551"/>
    <w:rsid w:val="00E35165"/>
    <w:rsid w:val="00E370A0"/>
    <w:rsid w:val="00E3780A"/>
    <w:rsid w:val="00E43191"/>
    <w:rsid w:val="00E43C6E"/>
    <w:rsid w:val="00E600AD"/>
    <w:rsid w:val="00E61B1E"/>
    <w:rsid w:val="00E658A9"/>
    <w:rsid w:val="00E70377"/>
    <w:rsid w:val="00E7333E"/>
    <w:rsid w:val="00E73D5A"/>
    <w:rsid w:val="00E74C76"/>
    <w:rsid w:val="00E74E9B"/>
    <w:rsid w:val="00E95B7D"/>
    <w:rsid w:val="00E974B4"/>
    <w:rsid w:val="00EA145F"/>
    <w:rsid w:val="00EA2E2C"/>
    <w:rsid w:val="00EA44B0"/>
    <w:rsid w:val="00EA51EC"/>
    <w:rsid w:val="00EB16D1"/>
    <w:rsid w:val="00EB322A"/>
    <w:rsid w:val="00EC23E6"/>
    <w:rsid w:val="00ED51B9"/>
    <w:rsid w:val="00EE4472"/>
    <w:rsid w:val="00EE69DB"/>
    <w:rsid w:val="00EE7521"/>
    <w:rsid w:val="00EF4535"/>
    <w:rsid w:val="00EF574C"/>
    <w:rsid w:val="00F01FDA"/>
    <w:rsid w:val="00F24A97"/>
    <w:rsid w:val="00F260A4"/>
    <w:rsid w:val="00F315EA"/>
    <w:rsid w:val="00F31AE1"/>
    <w:rsid w:val="00F451DD"/>
    <w:rsid w:val="00F461FC"/>
    <w:rsid w:val="00F46AA3"/>
    <w:rsid w:val="00F5293A"/>
    <w:rsid w:val="00F67174"/>
    <w:rsid w:val="00F7281A"/>
    <w:rsid w:val="00F73E65"/>
    <w:rsid w:val="00F80A7A"/>
    <w:rsid w:val="00F8351C"/>
    <w:rsid w:val="00F83E5E"/>
    <w:rsid w:val="00F84E00"/>
    <w:rsid w:val="00F85420"/>
    <w:rsid w:val="00F90B97"/>
    <w:rsid w:val="00F911CE"/>
    <w:rsid w:val="00F964B7"/>
    <w:rsid w:val="00FA01BA"/>
    <w:rsid w:val="00FA3495"/>
    <w:rsid w:val="00FA782A"/>
    <w:rsid w:val="00FB098C"/>
    <w:rsid w:val="00FB1D82"/>
    <w:rsid w:val="00FD3E1B"/>
    <w:rsid w:val="00FE5B3C"/>
    <w:rsid w:val="00FE7BCC"/>
    <w:rsid w:val="00FF218D"/>
    <w:rsid w:val="00FF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D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
    <w:name w:val="am"/>
    <w:basedOn w:val="Normal"/>
    <w:rsid w:val="00A61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k">
    <w:name w:val="ak"/>
    <w:basedOn w:val="DefaultParagraphFont"/>
    <w:rsid w:val="00A61303"/>
  </w:style>
  <w:style w:type="paragraph" w:customStyle="1" w:styleId="an">
    <w:name w:val="an"/>
    <w:basedOn w:val="Normal"/>
    <w:rsid w:val="00A61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h">
    <w:name w:val="ah"/>
    <w:basedOn w:val="DefaultParagraphFont"/>
    <w:rsid w:val="00A61303"/>
  </w:style>
  <w:style w:type="paragraph" w:customStyle="1" w:styleId="ar">
    <w:name w:val="ar"/>
    <w:basedOn w:val="Normal"/>
    <w:rsid w:val="00A613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s">
    <w:name w:val="as"/>
    <w:basedOn w:val="Normal"/>
    <w:rsid w:val="00A613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
    <w:name w:val="at"/>
    <w:basedOn w:val="Normal"/>
    <w:rsid w:val="00A61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a">
    <w:name w:val="aa"/>
    <w:basedOn w:val="DefaultParagraphFont"/>
    <w:rsid w:val="00A61303"/>
  </w:style>
  <w:style w:type="paragraph" w:customStyle="1" w:styleId="av">
    <w:name w:val="av"/>
    <w:basedOn w:val="Normal"/>
    <w:rsid w:val="00A61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
    <w:name w:val="x"/>
    <w:basedOn w:val="DefaultParagraphFont"/>
    <w:rsid w:val="00A61303"/>
  </w:style>
  <w:style w:type="paragraph" w:customStyle="1" w:styleId="ap">
    <w:name w:val="ap"/>
    <w:basedOn w:val="Normal"/>
    <w:rsid w:val="00A613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w">
    <w:name w:val="aw"/>
    <w:basedOn w:val="Normal"/>
    <w:rsid w:val="00A613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x">
    <w:name w:val="ax"/>
    <w:basedOn w:val="Normal"/>
    <w:rsid w:val="00A613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Text 1"/>
    <w:basedOn w:val="Normal"/>
    <w:uiPriority w:val="1"/>
    <w:qFormat/>
    <w:rsid w:val="00A61303"/>
    <w:pPr>
      <w:spacing w:after="220" w:line="240" w:lineRule="auto"/>
      <w:jc w:val="both"/>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61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303"/>
    <w:rPr>
      <w:rFonts w:ascii="Segoe UI" w:hAnsi="Segoe UI" w:cs="Segoe UI"/>
      <w:sz w:val="18"/>
      <w:szCs w:val="18"/>
    </w:rPr>
  </w:style>
  <w:style w:type="character" w:styleId="CommentReference">
    <w:name w:val="annotation reference"/>
    <w:basedOn w:val="DefaultParagraphFont"/>
    <w:uiPriority w:val="99"/>
    <w:semiHidden/>
    <w:unhideWhenUsed/>
    <w:rsid w:val="00A61303"/>
    <w:rPr>
      <w:sz w:val="16"/>
      <w:szCs w:val="16"/>
    </w:rPr>
  </w:style>
  <w:style w:type="paragraph" w:styleId="CommentText">
    <w:name w:val="annotation text"/>
    <w:basedOn w:val="Normal"/>
    <w:link w:val="CommentTextChar"/>
    <w:uiPriority w:val="99"/>
    <w:unhideWhenUsed/>
    <w:rsid w:val="00A61303"/>
    <w:pPr>
      <w:spacing w:line="240" w:lineRule="auto"/>
    </w:pPr>
    <w:rPr>
      <w:sz w:val="20"/>
      <w:szCs w:val="20"/>
    </w:rPr>
  </w:style>
  <w:style w:type="character" w:customStyle="1" w:styleId="CommentTextChar">
    <w:name w:val="Comment Text Char"/>
    <w:basedOn w:val="DefaultParagraphFont"/>
    <w:link w:val="CommentText"/>
    <w:uiPriority w:val="99"/>
    <w:rsid w:val="00A61303"/>
    <w:rPr>
      <w:sz w:val="20"/>
      <w:szCs w:val="20"/>
    </w:rPr>
  </w:style>
  <w:style w:type="paragraph" w:styleId="CommentSubject">
    <w:name w:val="annotation subject"/>
    <w:basedOn w:val="CommentText"/>
    <w:next w:val="CommentText"/>
    <w:link w:val="CommentSubjectChar"/>
    <w:uiPriority w:val="99"/>
    <w:semiHidden/>
    <w:unhideWhenUsed/>
    <w:rsid w:val="00A61303"/>
    <w:rPr>
      <w:b/>
      <w:bCs/>
    </w:rPr>
  </w:style>
  <w:style w:type="character" w:customStyle="1" w:styleId="CommentSubjectChar">
    <w:name w:val="Comment Subject Char"/>
    <w:basedOn w:val="CommentTextChar"/>
    <w:link w:val="CommentSubject"/>
    <w:uiPriority w:val="99"/>
    <w:semiHidden/>
    <w:rsid w:val="00A61303"/>
    <w:rPr>
      <w:b/>
      <w:bCs/>
      <w:sz w:val="20"/>
      <w:szCs w:val="20"/>
    </w:rPr>
  </w:style>
  <w:style w:type="paragraph" w:styleId="Header">
    <w:name w:val="header"/>
    <w:basedOn w:val="Normal"/>
    <w:link w:val="HeaderChar"/>
    <w:uiPriority w:val="99"/>
    <w:unhideWhenUsed/>
    <w:rsid w:val="00A613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1303"/>
  </w:style>
  <w:style w:type="paragraph" w:styleId="Footer">
    <w:name w:val="footer"/>
    <w:basedOn w:val="Normal"/>
    <w:link w:val="FooterChar"/>
    <w:uiPriority w:val="99"/>
    <w:unhideWhenUsed/>
    <w:rsid w:val="00A613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1303"/>
  </w:style>
  <w:style w:type="paragraph" w:styleId="Revision">
    <w:name w:val="Revision"/>
    <w:hidden/>
    <w:uiPriority w:val="99"/>
    <w:semiHidden/>
    <w:rsid w:val="00093F65"/>
    <w:pPr>
      <w:spacing w:after="0" w:line="240" w:lineRule="auto"/>
    </w:pPr>
  </w:style>
  <w:style w:type="character" w:styleId="Hyperlink">
    <w:name w:val="Hyperlink"/>
    <w:basedOn w:val="DefaultParagraphFont"/>
    <w:uiPriority w:val="99"/>
    <w:unhideWhenUsed/>
    <w:rsid w:val="009942FB"/>
    <w:rPr>
      <w:color w:val="0563C1" w:themeColor="hyperlink"/>
      <w:u w:val="single"/>
    </w:rPr>
  </w:style>
  <w:style w:type="character" w:styleId="UnresolvedMention">
    <w:name w:val="Unresolved Mention"/>
    <w:basedOn w:val="DefaultParagraphFont"/>
    <w:uiPriority w:val="99"/>
    <w:semiHidden/>
    <w:unhideWhenUsed/>
    <w:rsid w:val="0099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529">
      <w:bodyDiv w:val="1"/>
      <w:marLeft w:val="0"/>
      <w:marRight w:val="0"/>
      <w:marTop w:val="0"/>
      <w:marBottom w:val="0"/>
      <w:divBdr>
        <w:top w:val="none" w:sz="0" w:space="0" w:color="auto"/>
        <w:left w:val="none" w:sz="0" w:space="0" w:color="auto"/>
        <w:bottom w:val="none" w:sz="0" w:space="0" w:color="auto"/>
        <w:right w:val="none" w:sz="0" w:space="0" w:color="auto"/>
      </w:divBdr>
    </w:div>
    <w:div w:id="425997891">
      <w:bodyDiv w:val="1"/>
      <w:marLeft w:val="0"/>
      <w:marRight w:val="0"/>
      <w:marTop w:val="0"/>
      <w:marBottom w:val="0"/>
      <w:divBdr>
        <w:top w:val="none" w:sz="0" w:space="0" w:color="auto"/>
        <w:left w:val="none" w:sz="0" w:space="0" w:color="auto"/>
        <w:bottom w:val="none" w:sz="0" w:space="0" w:color="auto"/>
        <w:right w:val="none" w:sz="0" w:space="0" w:color="auto"/>
      </w:divBdr>
    </w:div>
    <w:div w:id="656613778">
      <w:bodyDiv w:val="1"/>
      <w:marLeft w:val="0"/>
      <w:marRight w:val="0"/>
      <w:marTop w:val="0"/>
      <w:marBottom w:val="0"/>
      <w:divBdr>
        <w:top w:val="none" w:sz="0" w:space="0" w:color="auto"/>
        <w:left w:val="none" w:sz="0" w:space="0" w:color="auto"/>
        <w:bottom w:val="none" w:sz="0" w:space="0" w:color="auto"/>
        <w:right w:val="none" w:sz="0" w:space="0" w:color="auto"/>
      </w:divBdr>
    </w:div>
    <w:div w:id="956907609">
      <w:bodyDiv w:val="1"/>
      <w:marLeft w:val="0"/>
      <w:marRight w:val="0"/>
      <w:marTop w:val="0"/>
      <w:marBottom w:val="0"/>
      <w:divBdr>
        <w:top w:val="none" w:sz="0" w:space="0" w:color="auto"/>
        <w:left w:val="none" w:sz="0" w:space="0" w:color="auto"/>
        <w:bottom w:val="none" w:sz="0" w:space="0" w:color="auto"/>
        <w:right w:val="none" w:sz="0" w:space="0" w:color="auto"/>
      </w:divBdr>
    </w:div>
    <w:div w:id="1390224596">
      <w:bodyDiv w:val="1"/>
      <w:marLeft w:val="0"/>
      <w:marRight w:val="0"/>
      <w:marTop w:val="0"/>
      <w:marBottom w:val="0"/>
      <w:divBdr>
        <w:top w:val="none" w:sz="0" w:space="0" w:color="auto"/>
        <w:left w:val="none" w:sz="0" w:space="0" w:color="auto"/>
        <w:bottom w:val="none" w:sz="0" w:space="0" w:color="auto"/>
        <w:right w:val="none" w:sz="0" w:space="0" w:color="auto"/>
      </w:divBdr>
    </w:div>
    <w:div w:id="1596548129">
      <w:bodyDiv w:val="1"/>
      <w:marLeft w:val="0"/>
      <w:marRight w:val="0"/>
      <w:marTop w:val="0"/>
      <w:marBottom w:val="0"/>
      <w:divBdr>
        <w:top w:val="none" w:sz="0" w:space="0" w:color="auto"/>
        <w:left w:val="none" w:sz="0" w:space="0" w:color="auto"/>
        <w:bottom w:val="none" w:sz="0" w:space="0" w:color="auto"/>
        <w:right w:val="none" w:sz="0" w:space="0" w:color="auto"/>
      </w:divBdr>
    </w:div>
    <w:div w:id="1746485644">
      <w:bodyDiv w:val="1"/>
      <w:marLeft w:val="0"/>
      <w:marRight w:val="0"/>
      <w:marTop w:val="0"/>
      <w:marBottom w:val="0"/>
      <w:divBdr>
        <w:top w:val="none" w:sz="0" w:space="0" w:color="auto"/>
        <w:left w:val="none" w:sz="0" w:space="0" w:color="auto"/>
        <w:bottom w:val="none" w:sz="0" w:space="0" w:color="auto"/>
        <w:right w:val="none" w:sz="0" w:space="0" w:color="auto"/>
      </w:divBdr>
    </w:div>
    <w:div w:id="18371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lackseapropertyplc.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518483-d2f5-495b-b965-d558fa73cbea">
      <Terms xmlns="http://schemas.microsoft.com/office/infopath/2007/PartnerControls"/>
    </lcf76f155ced4ddcb4097134ff3c332f>
    <TaxCatchAll xmlns="99230aa6-b2ab-47ce-919a-b8c3eac2d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72EE7735B0C24F99FE1DB1B8523CEE" ma:contentTypeVersion="12" ma:contentTypeDescription="Create a new document." ma:contentTypeScope="" ma:versionID="24419c8e76dff02f7a41e27bf4a1c6d6">
  <xsd:schema xmlns:xsd="http://www.w3.org/2001/XMLSchema" xmlns:xs="http://www.w3.org/2001/XMLSchema" xmlns:p="http://schemas.microsoft.com/office/2006/metadata/properties" xmlns:ns2="13518483-d2f5-495b-b965-d558fa73cbea" xmlns:ns3="99230aa6-b2ab-47ce-919a-b8c3eac2dac6" targetNamespace="http://schemas.microsoft.com/office/2006/metadata/properties" ma:root="true" ma:fieldsID="98835277db4cbd803123c0bdf43450cc" ns2:_="" ns3:_="">
    <xsd:import namespace="13518483-d2f5-495b-b965-d558fa73cbea"/>
    <xsd:import namespace="99230aa6-b2ab-47ce-919a-b8c3eac2da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8483-d2f5-495b-b965-d558fa73c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092492-b993-4838-8de2-a6060fcfeb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30aa6-b2ab-47ce-919a-b8c3eac2da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2122c3-4855-41a5-ad07-6817f4e3b5eb}" ma:internalName="TaxCatchAll" ma:showField="CatchAllData" ma:web="99230aa6-b2ab-47ce-919a-b8c3eac2d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4A3F2-0BED-4282-B116-41F3ED6B3003}">
  <ds:schemaRefs>
    <ds:schemaRef ds:uri="http://schemas.microsoft.com/sharepoint/v3/contenttype/forms"/>
  </ds:schemaRefs>
</ds:datastoreItem>
</file>

<file path=customXml/itemProps2.xml><?xml version="1.0" encoding="utf-8"?>
<ds:datastoreItem xmlns:ds="http://schemas.openxmlformats.org/officeDocument/2006/customXml" ds:itemID="{C87E9ED2-87EB-45E1-AAA9-98B6A169D9D4}">
  <ds:schemaRefs>
    <ds:schemaRef ds:uri="http://schemas.microsoft.com/office/2006/metadata/properties"/>
    <ds:schemaRef ds:uri="http://schemas.microsoft.com/office/infopath/2007/PartnerControls"/>
    <ds:schemaRef ds:uri="13518483-d2f5-495b-b965-d558fa73cbea"/>
    <ds:schemaRef ds:uri="99230aa6-b2ab-47ce-919a-b8c3eac2dac6"/>
  </ds:schemaRefs>
</ds:datastoreItem>
</file>

<file path=customXml/itemProps3.xml><?xml version="1.0" encoding="utf-8"?>
<ds:datastoreItem xmlns:ds="http://schemas.openxmlformats.org/officeDocument/2006/customXml" ds:itemID="{8C81C303-E83D-4513-A328-B7D24EBAA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18483-d2f5-495b-b965-d558fa73cbea"/>
    <ds:schemaRef ds:uri="99230aa6-b2ab-47ce-919a-b8c3eac2d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2023-11-07T13:31:00Z</dcterms:created>
  <dcterms:modified xsi:type="dcterms:W3CDTF">2023-11-07T13:31:00Z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D">
    <vt:lpwstr>253266</vt:lpwstr>
  </property>
  <property fmtid="{D5CDD505-2E9C-101B-9397-08002B2CF9AE}" pid="3" name="ContentTypeId">
    <vt:lpwstr>0x0101001E72EE7735B0C24F99FE1DB1B8523CEE</vt:lpwstr>
  </property>
  <property fmtid="{D5CDD505-2E9C-101B-9397-08002B2CF9AE}" pid="4" name="Order">
    <vt:r8>1420600</vt:r8>
  </property>
  <property fmtid="{D5CDD505-2E9C-101B-9397-08002B2CF9AE}" pid="5" name="MediaServiceImageTags">
    <vt:lpwstr/>
  </property>
</Properties>
</file>